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41053-2024 i Ronneby kommun</w:t>
      </w:r>
    </w:p>
    <w:p>
      <w:r>
        <w:t>Detta dokument behandlar höga naturvärden i avverkningsanmälan A 41053-2024 i Ronneby kommun. Denna avverkningsanmälan inkom 2024-09-24 00:00:00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41053-2024 karta.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6242139, E 521522 i SWEREF 99 TM.</w:t>
      </w:r>
    </w:p>
    <w:p>
      <w:pPr>
        <w:pStyle w:val="Heading1"/>
      </w:pPr>
      <w:r>
        <w:t>Fridlysta arter</w:t>
      </w:r>
    </w:p>
    <w:p>
      <w:r>
        <w:t>Följande fridlysta arter har sina livsmiljöer och växtplatser i den avverkningsanmälda skogen: hårklomossa (§8).</w:t>
      </w:r>
    </w:p>
    <w:p>
      <w:r>
        <w:rPr>
          <w:b/>
        </w:rPr>
        <w:t>Hårklomossa (§8)</w:t>
      </w:r>
      <w:r>
        <w:t xml:space="preserve"> omfattas av av EU:s art- och habitatdirektiv vilket innebär att det finns ett uttalat intresse inom Europeiska unionen att bevara arten. Hårklomossa växer på stenblock, trädbaser och basen av buskar och är knuten till zoner intill vattendrag och sjöar med stor vattenståndsamplitud som översvämmas och dränks i princip varje år (Hedenäs m.fl. 1996, Hylander 1998). Arten växer ibland på block i sänkor som periodvis torkar ut. Substraten skall helst vara något skuggade, men arten trivs inte om kärlväxttäcket blir för tätt. Arten hotas framför allt av förändringar i vattenståndsregim och vattenkvalitet. På lokaler med små populationer kan en alltför kraftig utglesning av träd- och/eller buskskikt längs stränderna utgöra ett hot (SLU Artdatabanken, 2021).</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