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47800-2024 i Ronneby kommun</w:t>
      </w:r>
    </w:p>
    <w:p>
      <w:r>
        <w:t>Detta dokument behandlar höga naturvärden i avverkningsanmälan A 47800-2024 i Ronneby kommun. Denna avverkningsanmälan inkom 2024-10-23 14:41:49 och omfattar 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grå taggsvamp (NT) och tjockfotad fingersvamp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8022"/>
            <wp:docPr id="1" name="Picture 1"/>
            <wp:cNvGraphicFramePr>
              <a:graphicFrameLocks noChangeAspect="1"/>
            </wp:cNvGraphicFramePr>
            <a:graphic>
              <a:graphicData uri="http://schemas.openxmlformats.org/drawingml/2006/picture">
                <pic:pic>
                  <pic:nvPicPr>
                    <pic:cNvPr id="0" name="A 47800-2024 karta.png"/>
                    <pic:cNvPicPr/>
                  </pic:nvPicPr>
                  <pic:blipFill>
                    <a:blip r:embed="rId16"/>
                    <a:stretch>
                      <a:fillRect/>
                    </a:stretch>
                  </pic:blipFill>
                  <pic:spPr>
                    <a:xfrm>
                      <a:off x="0" y="0"/>
                      <a:ext cx="5486400" cy="5758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6241773, E 516585 i SWEREF 99 TM.</w:t>
      </w:r>
    </w:p>
    <w:p>
      <w:r>
        <w:rPr>
          <w:b/>
        </w:rPr>
        <w:t xml:space="preserve">Grå taggsvamp (NT) </w:t>
      </w:r>
      <w:r>
        <w:t>bildar mykorrhiza med bok, ek och asp i lövskog, helst bok- och ekdominerade bestånd. Enstaka fynd har gjorts även i barrskog med lövinslag. Arten är en mycket bra signalart knuten till gamla kontinuitets- och restskogar med ek och bok. Troligen är de flesta förekomsterna att betrakta som kvarlevor (relikter) från förhistorisk tid. Aktuella lokaler behöver bevakas, så att inte någon av de få kända svenska växtplatserna förstörs (SLU Artdatabanken, 2024;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