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23380-2025 i Ronneby kommun</w:t>
      </w:r>
    </w:p>
    <w:p>
      <w:r>
        <w:t>Detta dokument behandlar höga naturvärden i avverkningsanmälan A 23380-2025 i Ronneby kommun. Denna avverkningsanmälan inkom 2025-05-14 19:19:29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kraterlav (VU), bokkantlav (NT), getinglik svampmygga (NT), koralltaggsvamp (NT), blemlavsklotter (DD), barkkornlav (S), bokfjädermossa (S), havstulpanlav (S), jättesvampmal (S) och klippfrullania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Getinglik svampmygga </w:t>
      </w:r>
      <w:r>
        <w:t>är knuten till äldre löv- och blandskog i skuggigt läge, gärna bäckdalar och raviner med tillgång till grövre, döende och död björk och bok. Larven uppehåller sig i en karakteristisk, vidlyftig väv på undersidan av fnösktickor, där den livnär sig på sporer. Både larven och puppan och den unga imagon utsänder ljus. Kända lokaler och andra områden med höga habitatkvalitéer som gynnar denna art bör i större omfattning skyddas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