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23380-2025 i Ronneby kommun</w:t>
      </w:r>
    </w:p>
    <w:p>
      <w:r>
        <w:t>Detta dokument behandlar höga naturvärden i avverkningsanmälan A 23380-2025 i Ronneby kommun som inkom 2025-05-14 och omfattar 15,6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7608" cy="5688000"/>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37608" cy="5688000"/>
                    </a:xfrm>
                    <a:prstGeom prst="rect"/>
                  </pic:spPr>
                </pic:pic>
              </a:graphicData>
            </a:graphic>
          </wp:inline>
        </w:drawing>
      </w:r>
    </w:p>
    <w:p>
      <w:pPr>
        <w:pStyle w:val="Caption"/>
        <w:spacing w:after="240"/>
      </w:pPr>
      <w:r>
        <w:t>Figur 1. Fyndplatser för naturvårdsarter i och inom 25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6228885, E 509408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och inom 25 meter från avverkningsanmälan har följande 11 naturvårdsarter hittats: blek kraterlav (VU), skillerticka (VU), bokkantlav (NT, T), koralltaggsvamp (NT, T), blemlavsklotter (DD), barkkornlav (S, T), bokfjädermossa (S, T), guldlockmossa (S, T), havstulpanlav (S, T), jättesvampmal (S) och klippfrullania (S, T). Av dessa är 5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 xml:space="preserve">Skillerticka (VU) </w:t>
      </w:r>
      <w:r>
        <w:t xml:space="preserve">är en sydlig ädellövskogsart framförallt knuten till bok, påträffas i parker, bokskog eller andra ädellövsmiljöer. Arten hotas av att olikåldriga bestånd med främst bok i hagmarks- och skogsmiljö avverkas. Spara värdträd och passande värdträd på svampens växtplatser. Olikåldriga bestånd med främst bok i hagmarks- och skogsmiljö sparas. En sällsynt och starkt hotad skalbagge </w:t>
      </w:r>
      <w:r>
        <w:rPr>
          <w:i/>
        </w:rPr>
        <w:t>Dorcatoma ambjoerni</w:t>
      </w:r>
      <w:r>
        <w:t xml:space="preserve"> (EN) har sin larvutveckling i fruktkroppar av skillerticka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bokkantlav (NT, T), koralltaggsvamp (NT, T), barkkornlav (S, T), bokfjädermossa (S, T), guldlockmossa (S, T), havstulpanlav (S, T) och klippfrullania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