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23380-2025 i Ronneby kommun</w:t>
      </w:r>
    </w:p>
    <w:p>
      <w:r>
        <w:t>Detta klagomål behandlar höga naturvärden i avverkningsanmälan A 23380-2025 i Ronneby kommun som inkom 2025-05-14 och omfattar 15,6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23380-2025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6228885, E 509408 i SWEREF 99 TM.</w:t>
      </w:r>
    </w:p>
    <w:p>
      <w:r>
        <w:t>I och inom 25 meter från avverkningsanmälan finns fynd av 11 naturvårdsarter, varav 5 är rödlistade, 7 är typiska (T) och 6 är signalarter (S): blek kraterlav (VU), skillerticka (VU), bokkantlav (NT, T), koralltaggsvamp (NT, T), blemlavsklotter (DD), barkkornlav (S, T), bokfjädermossa (S, T), guldlockmossa (S, T), havstulpanlav (S, T), jättesvampmal (S)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 xml:space="preserve">Skillerticka (VU) </w:t>
      </w:r>
      <w:r>
        <w:t xml:space="preserve">är en sydlig ädellövskogsart framförallt knuten till bok, påträffas i parker, bokskog eller andra ädellövsmiljöer. Arten hotas av att olikåldriga bestånd med främst bok i hagmarks- och skogsmiljö avverkas. Spara värdträd och passande värdträd på svampens växtplatser. Olikåldriga bestånd med främst bok i hagmarks- och skogsmiljö sparas. En sällsynt och starkt hotad skalbagge </w:t>
      </w:r>
      <w:r>
        <w:rPr>
          <w:i/>
        </w:rPr>
        <w:t>Dorcatoma ambjoerni</w:t>
      </w:r>
      <w:r>
        <w:t xml:space="preserve"> (EN) har sin larvutveckling i fruktkroppar av skillerticka (SLU Artdatabanken, 2025).</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Blemlavsklotter (DD)</w:t>
      </w:r>
      <w:r>
        <w:t xml:space="preserve"> är en lavparasit som växer på den vanliga arten blemlav, men är avsevärt ovanligare än sin värd och enbart hittad i halvöppna lägen i områden med lång trädkontinuitet och hög luftfuktighet. Faktaunderlaget bedöms vara otillräckligt för att avgöra vilken av de olika rödlistningskategorierna som är mest trolig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