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60768-2019 i Ronneby kommun</w:t>
      </w:r>
    </w:p>
    <w:p>
      <w:r>
        <w:t>Detta dokument behandlar höga naturvärden i avverkningsanmälan A 60768-2019 i Ronneby kommun. Denna avverkningsanmälan inkom 2019-11-12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matt pricklav (NT), grå skärelav (S), lönnlav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9113"/>
            <wp:docPr id="1" name="Picture 1"/>
            <wp:cNvGraphicFramePr>
              <a:graphicFrameLocks noChangeAspect="1"/>
            </wp:cNvGraphicFramePr>
            <a:graphic>
              <a:graphicData uri="http://schemas.openxmlformats.org/drawingml/2006/picture">
                <pic:pic>
                  <pic:nvPicPr>
                    <pic:cNvPr id="0" name="A 60768-2019 karta.png"/>
                    <pic:cNvPicPr/>
                  </pic:nvPicPr>
                  <pic:blipFill>
                    <a:blip r:embed="rId16"/>
                    <a:stretch>
                      <a:fillRect/>
                    </a:stretch>
                  </pic:blipFill>
                  <pic:spPr>
                    <a:xfrm>
                      <a:off x="0" y="0"/>
                      <a:ext cx="5486400" cy="545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6226579, E 527253 i SWEREF 99 TM.</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(SLU Artdatabanken, 2024; Nitare &amp; Skogsstyrelsen, 2019).</w:t>
      </w:r>
    </w:p>
    <w:p>
      <w:r>
        <w:rPr>
          <w:b/>
        </w:rPr>
        <w:t>Matt pricklav (NT)</w:t>
      </w:r>
      <w:r>
        <w:t xml:space="preserve"> växer framför allt på grov och hård bark av gamla jätteekar och förekommer enbart på gamla träd inom områden med jätteträd. Lokalerna bör skyddas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