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999-2020 i Ronneby kommun</w:t>
      </w:r>
    </w:p>
    <w:p>
      <w:r>
        <w:t>Detta klagomål behandlar höga naturvärden i samrådsanmälan S 999-2020 i Ronneby kommun som inkom 2020-05-04 och omfattar 3,7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S 999-2020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6238302, E 523085 i SWEREF 99 TM.</w:t>
      </w:r>
    </w:p>
    <w:p>
      <w:r>
        <w:t>I och inom 23 meter från samrådsanmälan finns fynd av 13 naturvårdsarter, varav 6 är rödlistade, 2 är fridlysta, 7 är typiska (T) och 6 är signalarter (S): almlav (EN, T), boktaggsvamp (VU), lundtaggsvamp (VU), läderbagge (VU, §4a), grå taggsvamp (NT), puderfläck (NT), fällmossa (S, T), grönpyrola (S, T), guldlockmossa (S, T), rostfläck (S, T), sotlav (S, T), zontaggsvamp (S) och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 xml:space="preserve">Boktaggsvamp (VU) </w:t>
      </w:r>
      <w:r>
        <w:t>bildar mykorrhiza med bok på kalkrik mark i äldre ädellövskog, främst i glesa, örtrika bokskogar med lång trädkontinuitet. Den nationella populationen är liten och bedöms ha minskat sedan 1970-talet till följd av slutavverkning av äldre bokskog. Arten påverkas negativt av brist på kontinuitetsskog och en minskning av populationen pågår eller förväntas ske. Arten är placerad i toppen på Skogsstyrelsens värdepyramid för bedömning av skog med höga naturvärden (SLU Artdatabanken, 2026; Nitare &amp; Skogsstyrelsen, 2019).</w:t>
      </w:r>
    </w:p>
    <w:p>
      <w:r>
        <w:rPr>
          <w:b/>
        </w:rPr>
        <w:t xml:space="preserve">Lundtaggsvamp (VU) </w:t>
      </w:r>
      <w:r>
        <w:t>är en sydlig, värmeälskande art som bildar mykorrhiza med bok och ek i ädellövskog med rik lundflora. Arten är placerad högst upp i Skogsstyrelsens värdepyramid för bedömning av skog med höga naturvärden och ingår i ett åtgärdsprogram för hotade arter (ÅGP). Samtliga växtplatser bör få formellt områdesskydd och eventuella skötselplaner i naturreservat bör anpassas till svampens behov. Lundtaggsvamp är globalt rödlistad som sårbar (VU) vilket innebär att Sverige har ett internationellt ansvar för arten (SLU Artdatabanken, 2024; Nitare &amp; Skogsstyrelsen, 2019; IUCN, 2015; Nitare, 2006).</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Grå taggsvamp (NT) </w:t>
      </w:r>
      <w:r>
        <w:t>bildar mykorrhiza med bok, ek och asp i lövskog, helst bok- och ekdominerade bestånd. Enstaka fynd har gjorts även i barrskog med lövinslag. Arten är en mycket bra signalart knuten till gamla kontinuitets- och restskogar med ek och bok. Troligen är de flesta förekomsterna att betrakta som kvarlevor (relikter) från förhistorisk tid. Aktuella lokaler behöver bevakas, så att inte någon av de få kända svenska växtplatserna förstörs (SLU Artdatabanken, 2024; Nitare &amp; Skogsstyrelsen, 2019).</w:t>
      </w:r>
    </w:p>
    <w:p>
      <w:r>
        <w:rPr>
          <w:b/>
        </w:rPr>
        <w:t>Puderfläck (NT)</w:t>
      </w:r>
      <w:r>
        <w:t xml:space="preserve"> växer huvudsakligen på halvgamla till gamla ekar med hård bark i halvöppna till slutna lägen. Vid några tillfällen har den hittats på hårdbarkig klibbal på lokaler med hög luftfuktighet. Skogarna har lång skoglig kontinuitet och ofta finns andra rödlistade lavar, t.ex. liten sönderfallslav (NT), på lokalerna. Åtminstone de rikligaste lokalerna bör skyddas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