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21911-2026 i Karlshamns kommun</w:t>
      </w:r>
    </w:p>
    <w:p>
      <w:r>
        <w:t>Detta klagomål behandlar höga naturvärden i avverkningsanmälan A 21911-2026 i Karlshamns kommun som inkom 2026-05-08 och omfattar 6,5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21911-2026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6227827, E 492852 i SWEREF 99 TM.</w:t>
      </w:r>
    </w:p>
    <w:p>
      <w:r>
        <w:t>I avverkningsanmälan finns fynd av 6 naturvårdsarter, varav 1 är fridlyst, 3 är typiska (T) och 5 är signalarter (S): liten stinksvamp (S), lömsk flugsvamp (S), murgröna (S, T), myskmadra (S, T), rutkremla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Rutkremla </w:t>
      </w:r>
      <w:r>
        <w:t>är en bra signalart som indikerar olika typer av varma och torra lövträdmiljöer med höga naturvärden. Den bildar mykorrhiza med bl.a. ek, bok, avenbok, lind, hassel och björk. På många lokaler i södra Sverige, där arten är känd, har den minskat kraftigt de senaste decennierna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