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2369-2024 i Karlshamns kommun</w:t>
      </w:r>
    </w:p>
    <w:p>
      <w:r>
        <w:t>Detta dokument behandlar höga naturvärden i avverkningsanmälan A 2369-2024 i Karlshamns kommun. Denna avverkningsanmälan inkom 2024-01-19 00:00:00 och omfattar 7,3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mindre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4327"/>
            <wp:docPr id="1" name="Picture 1"/>
            <wp:cNvGraphicFramePr>
              <a:graphicFrameLocks noChangeAspect="1"/>
            </wp:cNvGraphicFramePr>
            <a:graphic>
              <a:graphicData uri="http://schemas.openxmlformats.org/drawingml/2006/picture">
                <pic:pic>
                  <pic:nvPicPr>
                    <pic:cNvPr id="0" name="A 2369-2024 karta.png"/>
                    <pic:cNvPicPr/>
                  </pic:nvPicPr>
                  <pic:blipFill>
                    <a:blip r:embed="rId16"/>
                    <a:stretch>
                      <a:fillRect/>
                    </a:stretch>
                  </pic:blipFill>
                  <pic:spPr>
                    <a:xfrm>
                      <a:off x="0" y="0"/>
                      <a:ext cx="5486400" cy="39643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6226340, E 493422 i SWEREF 99 TM.</w:t>
      </w:r>
    </w:p>
    <w:p>
      <w:pPr>
        <w:pStyle w:val="Heading1"/>
      </w:pPr>
      <w:r>
        <w:t>Fridlysta arter</w:t>
      </w:r>
    </w:p>
    <w:p>
      <w:r>
        <w:t>Följande fridlysta arter har sina livsmiljöer och växtplatser i den avverkningsanmälda skogen: mindre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Mindre hackspett (NT, §4)</w:t>
      </w:r>
      <w:r>
        <w:t xml:space="preserve"> är rödlistad som nära hotad, fridlyst och prioriterad art i Skogsvårdslagen. Minskningstakten har uppgått till 25 (10–40) % under de senaste 15 åren och bedöms vara nära gränsvärdet för Sårbar (VU). (A2bc). Arten har stora revir och höga krav när det gäller förekomst av lövskog på landskapsnivå. För att häcka framgångsrikt behöver ett par cirka 40 ha äldre lövdominerad skog inom ett område på upp till 200 ha. Under vintern kan födosök även ske i äldre grandominerad skog (SLU Artdatabanken, 2021 &amp;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Mindre hackspett – ekologi samt krav på livsmiljön</w:t>
      </w:r>
    </w:p>
    <w:p>
      <w:r>
        <w:t>Mindre hackspett (NT) är rödlistad som nära hotad, fridlyst och prioriterad art i Skogsvårdslagen. Minskningstakten har uppgått till 25 (10–40) % under de senaste 15 åren och bedöms vara nära gränsvärdet för Sårbar (VU). (A2bc). (SLU Artdatabanken 2021).</w:t>
      </w:r>
    </w:p>
    <w:p>
      <w:r>
        <w:t>Den mindre hackspetten lever i löv- och blandskog med förekomst av äldre lövträd, gärna ädellövträd i södra Sverige. Norrut förekommer arten i gamla löv- och blandskogar med al, björk och asp. Ett mycket glest bestånd förekommer i fjällbjörkskogen. Under vintern kan födosök ske även i äldre grandominerad skog, troligen för att den ger bättre skydd mot rovdjur och rovfåglar än ren lövskog. (SLU Artdatabanken, 2021).</w:t>
      </w:r>
    </w:p>
    <w:p>
      <w:r>
        <w:t>Arten har stora revir och höga krav när det gäller förekomst av lövskog på landskapsnivå. För att häcka framgångsrikt behöver ett par cirka 40 ha äldre lövdominerad skog inom ett område på upp till 200 ha. Under vintern utsträcks födosöket till ett större område på flera hundra hektar, men varje individ återvänder till samma natthål kväll efter kväll. Arten häckar i murkna lövträdsstammar eller stubbar (oftast klibbal eller björk), vanligen 3–7 meter över marken. Ett nytt bohål hackas ut varje vår (Skogsstyrelsen, 2016 &amp; SLU Artdatabanken, 2021).</w:t>
      </w:r>
    </w:p>
    <w:p>
      <w:r>
        <w:t>Den mindre hackspetten missgynnas av gallring i löv- och blandskogar, om lövträd tas bort. Vidare så missgynnas arten starkt genom avverkning av äldre lövträd, dränering och avverkning av al- och björkkärr, röjning eller gallring av täta strandskogar, alkärr samt borttagande av murkna träd och grenar. Nedhuggning av äldre hagmarksbjörkar och alar är också negativt. Arten hotas dessutom av biobränsleuttag i gamla inägomarker och andra lövskogar (Skogsstyrelsen, 2016 &amp; SLU Artdatabanken, 2021).</w:t>
      </w:r>
    </w:p>
    <w:p>
      <w:pPr>
        <w:pStyle w:val="Heading2"/>
      </w:pPr>
      <w:r>
        <w:t>Referenser – mindre hackspett</w:t>
      </w:r>
    </w:p>
    <w:p>
      <w:r>
        <w:t xml:space="preserve">Skogsstyrelsen, 2016. </w:t>
      </w:r>
      <w:r>
        <w:rPr>
          <w:i/>
        </w:rPr>
        <w:t xml:space="preserve">Vägledning för hänsyn till mindre hackspett. </w:t>
      </w:r>
      <w:r>
        <w:t>https://www.skogsstyrelsen.se/globalassets/lag-och-tillsyn/artskydd/vagledningar-for-hansyn-till-faglar/mindre-hackspett-vagledning-hansyn2.pdf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