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2574-2023 i Karlshamns kommun</w:t>
      </w:r>
    </w:p>
    <w:p>
      <w:r>
        <w:t>Detta dokument behandlar höga naturvärden i avverkningsanmälan A 2574-2023 i Karlshamns kommun. Denna avverkningsanmälan inkom 2023-01-17 00:00:00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fjällsopp (S), liten stinksvamp (S), murgröna (S), myskmadra (S), rutkremla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574-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6227814, E 492905 i SWEREF 99 TM.</w:t>
      </w:r>
    </w:p>
    <w:p>
      <w:r>
        <w:rPr>
          <w:b/>
        </w:rPr>
        <w:t xml:space="preserve">Rutkremla </w:t>
      </w:r>
      <w:r>
        <w:t>är en bra signalart som indikerar olika typer av varma och torra lövträdmiljöer med höga naturvärden. Den bildar mykorrhiza med bl.a. ek, bok, avenbok, lind, hassel och björk. På många lokaler i södra Sverige, där arten är känd, har den minskat kraftigt de senaste decennierna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