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4534-2023 i Sölvesborgs kommun</w:t>
      </w:r>
    </w:p>
    <w:p>
      <w:r>
        <w:t>Denna tillsynsbegäran behandlar höga naturvärden i samrådsanmälan S 4534-2023 i Sölvesborgs kommun som inkom 2023-12-18 och omfattar 52,4 ha.</w:t>
      </w:r>
    </w:p>
    <w:p>
      <w:pPr>
        <w:pStyle w:val="Caption"/>
      </w:pPr>
      <w:r>
        <w:drawing>
          <wp:inline xmlns:a="http://schemas.openxmlformats.org/drawingml/2006/main" xmlns:pic="http://schemas.openxmlformats.org/drawingml/2006/picture">
            <wp:extent cx="5246016" cy="5724000"/>
            <wp:docPr id="1" name="Picture 1"/>
            <wp:cNvGraphicFramePr>
              <a:graphicFrameLocks noChangeAspect="1"/>
            </wp:cNvGraphicFramePr>
            <a:graphic>
              <a:graphicData uri="http://schemas.openxmlformats.org/drawingml/2006/picture">
                <pic:pic>
                  <pic:nvPicPr>
                    <pic:cNvPr id="0" name="S 4534-2023 karta.png"/>
                    <pic:cNvPicPr/>
                  </pic:nvPicPr>
                  <pic:blipFill>
                    <a:blip r:embed="rId16"/>
                    <a:stretch>
                      <a:fillRect/>
                    </a:stretch>
                  </pic:blipFill>
                  <pic:spPr>
                    <a:xfrm>
                      <a:off x="0" y="0"/>
                      <a:ext cx="5246016" cy="5724000"/>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6227140, E 474545 i SWEREF 99 TM.</w:t>
      </w:r>
    </w:p>
    <w:p>
      <w:r>
        <w:t>I och inom 16 meter från samrådsanmälan finns fynd av 8 naturvårdsarter, varav 5 är rödlistade, 2 är fridlysta och 2 är signalarter (S): dvärgjohannesört (EN, §8), gullklöver (NT), kavelhirs (NT), mjukdån (NT), sydspärgel (NT), igelkottsröksvamp (S), västlig hakmossa (S)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Igelkottsröksvamp </w:t>
      </w:r>
      <w:r>
        <w:t>är överallt en bra signalart på skyddsvärda ädellövskogar och lövlundar. Svampen är kalkgynnad och indikerar lokalklimatiskt varma men samtidigt relativt fuktiga lövskogar. Växtmiljön utgörs vanligtvis av äldre successionsstadier inom områden med långvarig trädkontinuitet och lokalerna hyser oftast en rik lundflora med många andra ovanliga och rödlistade arter. Skogsbruk som bryter den skogliga kontinuiteten och förändrade markförhållanden missgynnar arten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