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15456-2024 i Svalövs kommun</w:t>
      </w:r>
    </w:p>
    <w:p>
      <w:r>
        <w:t>Detta klagomål behandlar höga naturvärden i avverkningsanmälan A 15456-2024 i Svalövs kommun som inkom 2024-04-19 och omfattar 2,5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15456-2024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6198164, E 392359 i SWEREF 99 TM.</w:t>
      </w:r>
    </w:p>
    <w:p>
      <w:r>
        <w:t>I avverkningsanmälan finns fynd av 1 naturvårdsarter, varav 1 är rödlistad: lundticka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Lundticka (VU)</w:t>
      </w:r>
      <w:r>
        <w:t xml:space="preserve"> är en nedbrytare i förna och murken ved av alm och ask, mer sällan även bok, i ädellövskog på kalkrik mark. En relativt oansenlig art knuten till exklusiva ädellövlokaler. Den totala populationen i landet liten och bedöms fortgående att minska p.g.a. att almsjukan och askskottsjukan hotar artens livsmiljöer. Artens förekomster måste skyddas så att artens överlevnad kan tryggas i landet. Ädellövskog med lång kontinuitet och ett stort inslag av äldre träd och död ved bör generellt skyddas från skogligt brukande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