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377-2024 i Östra Göinge kommun</w:t>
      </w:r>
    </w:p>
    <w:p>
      <w:r>
        <w:t>Denna tillsynsbegäran behandlar höga naturvärden i samrådsanmälan S 377-2024 i Östra Göinge kommun som inkom 2024-02-08 och omfattar 62,4 ha.</w:t>
      </w:r>
    </w:p>
    <w:p>
      <w:pPr>
        <w:pStyle w:val="Caption"/>
      </w:pPr>
      <w:r>
        <w:drawing>
          <wp:inline xmlns:a="http://schemas.openxmlformats.org/drawingml/2006/main" xmlns:pic="http://schemas.openxmlformats.org/drawingml/2006/picture">
            <wp:extent cx="4571332" cy="5724000"/>
            <wp:docPr id="1" name="Picture 1"/>
            <wp:cNvGraphicFramePr>
              <a:graphicFrameLocks noChangeAspect="1"/>
            </wp:cNvGraphicFramePr>
            <a:graphic>
              <a:graphicData uri="http://schemas.openxmlformats.org/drawingml/2006/picture">
                <pic:pic>
                  <pic:nvPicPr>
                    <pic:cNvPr id="0" name="S 377-2024 karta.png"/>
                    <pic:cNvPicPr/>
                  </pic:nvPicPr>
                  <pic:blipFill>
                    <a:blip r:embed="rId16"/>
                    <a:stretch>
                      <a:fillRect/>
                    </a:stretch>
                  </pic:blipFill>
                  <pic:spPr>
                    <a:xfrm>
                      <a:off x="0" y="0"/>
                      <a:ext cx="4571332"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6241507, E 439033 i SWEREF 99 TM.</w:t>
      </w:r>
    </w:p>
    <w:p>
      <w:r>
        <w:t>I och inom 24 meter från samrådsanmälan finns fynd av 14 naturvårdsarter, varav 8 är rödlistade, 1 är fridlyst, 6 är typiska (T) och 5 är signalarter (S): almlav (EN, T), ask (EN), blek kraterlav (VU), gulvit blekspik (VU, T), slåttergubbe (VU), gul dropplav (NT), parknål (NT), blemlavsklotter (DD), fällmossa (S, T), guldlockmossa (S, T), gulnål (S, T), lönnlav (S), platt fjädermossa (S, T)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Blemlavsklotter (DD)</w:t>
      </w:r>
      <w:r>
        <w:t xml:space="preserve"> är en lavparasit som växer på den vanliga arten blemlav, men är avsevärt ovanligare än sin värd och enbart hittad i halvöppna lägen i områden med lång trädkontinuitet och hög luftfuktighet. Faktaunderlaget bedöms vara otillräckligt för att avgöra vilken av de olika rödlistningskategorierna som är mest trolig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almlav (EN, T), gulvit blekspik (VU, T), fällmossa (S, T), guldlockmossa (S, T), gulnål (S, T) och platt 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