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2831-2023 i Östra Göinge kommun</w:t>
      </w:r>
    </w:p>
    <w:p>
      <w:r>
        <w:t>Detta klagomål behandlar höga naturvärden i samrådsanmälan S 2831-2023 i Östra Göinge kommun som inkom 2023-08-28 och omfattar 22,2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S 2831-2023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6244743, E 443849 i SWEREF 99 TM.</w:t>
      </w:r>
    </w:p>
    <w:p>
      <w:r>
        <w:t>I och inom 22 meter från samrådsanmälan finns fynd av 3 naturvårdsarter, varav 3 är typiska (T) och 3 är signalarter (S): barkkornlav (S, T), fällmossa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