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449-2022 i Östra Göinge kommun</w:t>
      </w:r>
    </w:p>
    <w:p>
      <w:r>
        <w:t>Denna tillsynsbegäran behandlar höga naturvärden i samrådsanmälan S 449-2022 i Östra Göinge kommun som inkom 2022-01-25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0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6241722, E 440315 i SWEREF 99 TM.</w:t>
      </w:r>
    </w:p>
    <w:p>
      <w:r>
        <w:t>I samrådsanmälan finns fynd av 4 naturvårdsarter, varav 1 är rödlistad, 3 är typiska (T) och 3 är signalarter (S): liten lundlav (NT), bokfjädermossa (S, T), gulnål (S, T) och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Liten lundlav (NT) </w:t>
      </w:r>
      <w:r>
        <w:t>växer i Syd- och Mellansverige i gamla ädellövskogar med lång trädkontinuitet, främst på bok. Oftast på gamla senvuxna träd med grov och sprucken bark. Arten påverkas negativt av brist på kontinuitetsskog och lämpliga träd nyskapas i mycket begränsad omfattning. Minskningstakten uppgår till 15 (10–25) % inom 50 år och bedöms vara nära gränsvärdet för sårbar (VU) (SLU Artdatabanken, 2026).</w:t>
      </w:r>
    </w:p>
    <w:p>
      <w:r>
        <w:rPr>
          <w:b/>
        </w:rPr>
        <w:t>Bokfjädermossa</w:t>
      </w:r>
      <w:r>
        <w:t xml:space="preserve"> växer främst i sluten bokskog på grova bokstammar. Arten är placerad högst upp i Skogsstyrelsens värdepyramid för bedömning av skog med höga naturvärden och signalerar överallt skogsmiljöer med höga naturvärden. Samtliga aktuella lokaler bör skyddas mot avverkning. Bokfjädermossa är typisk art för </w:t>
      </w:r>
      <w:r>
        <w:rPr>
          <w:i/>
        </w:rPr>
        <w:t xml:space="preserve">9020 Nordlig ädellövskog, 9110 Näringsfattig bokskog, 9130 Näringsrik bokskog, 9180 Ädellövskog i branter, 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