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1423-2025 i Östra Göinge kommun</w:t>
      </w:r>
    </w:p>
    <w:p>
      <w:r>
        <w:t>Detta klagomål behandlar höga naturvärden i samrådsanmälan S 1423-2025 i Östra Göinge kommun som inkom 2025-05-06 och omfattar 0,6 ha.</w:t>
      </w:r>
    </w:p>
    <w:p>
      <w:pPr>
        <w:pStyle w:val="Caption"/>
      </w:pPr>
      <w:r>
        <w:drawing>
          <wp:inline xmlns:a="http://schemas.openxmlformats.org/drawingml/2006/main" xmlns:pic="http://schemas.openxmlformats.org/drawingml/2006/picture">
            <wp:extent cx="4950965" cy="5724000"/>
            <wp:docPr id="1" name="Picture 1"/>
            <wp:cNvGraphicFramePr>
              <a:graphicFrameLocks noChangeAspect="1"/>
            </wp:cNvGraphicFramePr>
            <a:graphic>
              <a:graphicData uri="http://schemas.openxmlformats.org/drawingml/2006/picture">
                <pic:pic>
                  <pic:nvPicPr>
                    <pic:cNvPr id="0" name="S 1423-2025 karta.png"/>
                    <pic:cNvPicPr/>
                  </pic:nvPicPr>
                  <pic:blipFill>
                    <a:blip r:embed="rId16"/>
                    <a:stretch>
                      <a:fillRect/>
                    </a:stretch>
                  </pic:blipFill>
                  <pic:spPr>
                    <a:xfrm>
                      <a:off x="0" y="0"/>
                      <a:ext cx="4950965" cy="572400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6237742, E 455620 i SWEREF 99 TM.</w:t>
      </w:r>
    </w:p>
    <w:p>
      <w:r>
        <w:t>I och inom 5 meter från samrådsanmälan finns fynd av 3 naturvårdsarter, varav 3 är typiska (T) och 2 är signalarter (S): havstulpanlav (S, T), rostfläck (S, T) och glansfläck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