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59155-2022 i Östra Göinge kommun</w:t>
      </w:r>
    </w:p>
    <w:p>
      <w:r>
        <w:t>Detta dokument behandlar höga naturvärden i avverkningsanmälan A 59155-2022 i Östra Göinge kommun. Denna avverkningsanmälan inkom 2022-12-02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blek kraterlav (VU), gulfotshätta (S) och lönnlav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59155-2022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6242709, E 439601 i SWEREF 99 TM.</w:t>
      </w:r>
    </w:p>
    <w:p>
      <w:r>
        <w:rPr>
          <w:b/>
        </w:rPr>
        <w:t>Blek kraterlav (VU)</w:t>
      </w:r>
      <w:r>
        <w:t xml:space="preserve"> växer på grova ädellövträd (till mer än 80% på ask och alm men någon gång på ek och lönn) i gamla skogar, öppna lövängar, alléer och kyrkogårdar. Arten förekommer på lokaler med lång trädkontinuitet, ofta tillsammans med den rödlistade almlaven (SLU Artdatabanken, 2024).</w:t>
      </w:r>
    </w:p>
    <w:p>
      <w:r>
        <w:rPr>
          <w:b/>
        </w:rPr>
        <w:t xml:space="preserve">Gulfotshätta </w:t>
      </w:r>
      <w:r>
        <w:t>signalerar lövskogar med höga naturvärden. På lokalerna finns oftast en rik lundflora samt många andra ovanliga och rödlistade arter. Växtmiljön utgörs normalt av näringsrika lövskogar i sena, naturskogslika successionsstadier där det finns rikligt med död ved. Växtplatserna har nästan alltid en långvarig ekologisk kontinuitet som lövträdsbevuxen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