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44788-2025 i Östra Göinge kommun</w:t>
      </w:r>
    </w:p>
    <w:p>
      <w:r>
        <w:t>Detta klagomål behandlar höga naturvärden i avverkningsanmälan A 44788-2025 i Östra Göinge kommun som inkom 2025-09-18 och omfattar 1,1 ha.</w:t>
      </w:r>
    </w:p>
    <w:p>
      <w:pPr>
        <w:pStyle w:val="Caption"/>
      </w:pPr>
      <w:r>
        <w:drawing>
          <wp:inline xmlns:a="http://schemas.openxmlformats.org/drawingml/2006/main" xmlns:pic="http://schemas.openxmlformats.org/drawingml/2006/picture">
            <wp:extent cx="5486400" cy="5079677"/>
            <wp:docPr id="1" name="Picture 1"/>
            <wp:cNvGraphicFramePr>
              <a:graphicFrameLocks noChangeAspect="1"/>
            </wp:cNvGraphicFramePr>
            <a:graphic>
              <a:graphicData uri="http://schemas.openxmlformats.org/drawingml/2006/picture">
                <pic:pic>
                  <pic:nvPicPr>
                    <pic:cNvPr id="0" name="A 44788-2025 karta.png"/>
                    <pic:cNvPicPr/>
                  </pic:nvPicPr>
                  <pic:blipFill>
                    <a:blip r:embed="rId16"/>
                    <a:stretch>
                      <a:fillRect/>
                    </a:stretch>
                  </pic:blipFill>
                  <pic:spPr>
                    <a:xfrm>
                      <a:off x="0" y="0"/>
                      <a:ext cx="5486400" cy="5079677"/>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har ett svart streck som visar fyndplatsens exakta position. Kartans mittpunktskoordinat är N 6225317, E 450822 i SWEREF 99 TM.</w:t>
      </w:r>
    </w:p>
    <w:p>
      <w:r>
        <w:t>I och inom 15 meter från avverkningsanmälan finns fynd av 2 naturvårdsarter, varav 1 är rödlistad, 1 är fridlyst, 1 är typisk (T) och 1 är signalart (S): grönsångare (NT, §4) och havstulpanlav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r>
        <w:rPr>
          <w:b/>
        </w:rPr>
        <w:t>Havstulpanlav</w:t>
      </w:r>
      <w:r>
        <w:t xml:space="preserve"> är en mycket bra signalart som överallt indikerar skogsbestånd med höga naturvärden. Den växer främst på barken av lövträd i gamla, skuggiga och fuktiga skogsmiljöer, men förekommer relativt ofta även på äldre gran i sumpskog. Havstulpanlav är typisk art för </w:t>
      </w:r>
      <w:r>
        <w:rPr>
          <w:i/>
        </w:rPr>
        <w:t xml:space="preserve">9020 Nordlig ädellövskog, 9070 Trädklädd betesmark, 9110 Näringsfattig bokskog, 9130 Näringsrik bokskog, 9160 Näringsrik ekskog, 9180 Ädellövskog i branter </w:t>
      </w:r>
      <w:r>
        <w:t>och</w:t>
      </w:r>
      <w:r>
        <w:rPr>
          <w:i/>
        </w:rPr>
        <w:t xml:space="preserve"> 9190 Näringsfattig ekskog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