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35525-2025 i Östra Göinge kommun</w:t>
      </w:r>
    </w:p>
    <w:p>
      <w:r>
        <w:t>Denna tillsynsbegäran behandlar höga naturvärden i avverkningsanmälan A 35525-2025 i Östra Göinge kommun som inkom 2025-07-18 och omfattar 3,1 ha.</w:t>
      </w:r>
    </w:p>
    <w:p>
      <w:pPr>
        <w:pStyle w:val="Caption"/>
      </w:pPr>
      <w:r>
        <w:drawing>
          <wp:inline xmlns:a="http://schemas.openxmlformats.org/drawingml/2006/main" xmlns:pic="http://schemas.openxmlformats.org/drawingml/2006/picture">
            <wp:extent cx="5486400" cy="5371393"/>
            <wp:docPr id="1" name="Picture 1"/>
            <wp:cNvGraphicFramePr>
              <a:graphicFrameLocks noChangeAspect="1"/>
            </wp:cNvGraphicFramePr>
            <a:graphic>
              <a:graphicData uri="http://schemas.openxmlformats.org/drawingml/2006/picture">
                <pic:pic>
                  <pic:nvPicPr>
                    <pic:cNvPr id="0" name="A 35525-2025 karta.png"/>
                    <pic:cNvPicPr/>
                  </pic:nvPicPr>
                  <pic:blipFill>
                    <a:blip r:embed="rId16"/>
                    <a:stretch>
                      <a:fillRect/>
                    </a:stretch>
                  </pic:blipFill>
                  <pic:spPr>
                    <a:xfrm>
                      <a:off x="0" y="0"/>
                      <a:ext cx="5486400" cy="5371393"/>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6227789, E 437184 i SWEREF 99 TM.</w:t>
      </w:r>
    </w:p>
    <w:p>
      <w:r>
        <w:t>I och inom 15 meter från avverkningsanmälan finns fynd av 6 naturvårdsarter, varav 3 är rödlistade, 4 är fridlysta, 1 är typisk (T) och 2 är signalarter (S): barbastell (NT, §4a), brunlångöra (NT, §4a), nordfladdermus (NT, §4a), platt fjädermossa (S, T), västlig hakmossa (S) och större brunfladdermus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Barbastell (NT, §4a) </w:t>
      </w:r>
      <w:r>
        <w:t>omfattas av bilaga 2 och 4 EU:s art- och habitatdirektiv vilket innebär att arten och dess livsmiljöer är strikt skyddade samt att Natura 2000-områden ska inrättas. Den är globalt rödlistad som nära hotad (NT) och i den europeiska rödlistan är den klassad som sårbar (VU). Barbastell omfattas av ett åtgärdsprogram för hotade arter (ÅGP) och inför upprättandet av åtgärdsprogrammet för arten 2015, konstaterade EU-kommissionen att Sverige inte skyddat tillräckligt med områden för arten i boreal biogeografisk region (SLU Artdatabanken, 2024; IUCN, 2016; Ahlén, 2015).</w:t>
      </w:r>
    </w:p>
    <w:p>
      <w:r>
        <w:t>Barbastellen föredrar ett halvöppet landskap med betes- och slåttermarker och gamla bondeskogar där den är speciellt inriktad på att ta fjärilar, framför allt småfjärilar, men även andra smådjursgrupper, t.ex. tvåvingar och spindlar.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br w:type="page"/>
      </w:r>
    </w:p>
    <w:p>
      <w:pPr>
        <w:pStyle w:val="Title"/>
      </w:pPr>
      <w:r>
        <w:t>BILAGA 1 – Fridlysta arter</w:t>
      </w:r>
    </w:p>
    <w:p>
      <w:pPr>
        <w:pStyle w:val="Heading1"/>
      </w:pPr>
      <w:r>
        <w:t>Barbastell – ekologi samt krav på livsmiljön</w:t>
      </w:r>
    </w:p>
    <w:p>
      <w:r>
        <w:t>Barbastell (NT, §4a) omfattas av bilaga 2 och 4 EU:s art- och habitatdirektiv vilket innebär att arten och dess livsmiljöer är strikt skyddade samt att Natura 2000-områden ska inrättas. Barbastell är globalt rödlistad som nära hotad (NT) och i den europeiska rödlistan är den klassad som sårbar (VU). Den omfattas av ett åtgärdsprogram för hotade arter (ÅGP) och inför upprättandet av åtgärdsprogrammet för arten 2015, konstaterade EU-kommissionen att Sverige inte skyddat tillräckligt med områden för barbastell i boreal biogeografisk region (SLU Artdatabanken, 2024; IUCN, 2016; Ahlén, 2015).</w:t>
      </w:r>
    </w:p>
    <w:p>
      <w:r>
        <w:t>Barbastellen förekommer från Skåne och Blekinge i söder till Västra Götaland och Östergötland i norr. Den föredrar ett halvöppet landskap med betes- och slåttermarker och gamla bondeskogar där den är speciellt inriktad på att ta fjärilar, framför allt småfjärilar, men även andra smådjursgrupper, t.ex. tvåvingar och spindlar.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t>Kärnområdet i norra Småland och södra Östergötland kännetecknas av äldre genuin gårdsbebyggelse, ofta i byar med flera näraliggande gårdar och ladugårdar. I omgivningarna finns vanligen rikligt med äldre, grova tidigare hamlade träd och andra äldre lövträd, beteshagar och ängar, gärna med översilningsmark och kärr. Trädgårdar av äldre typ, icke alltför intensivt skötta, utgör också en viktig jaktbiotop. Barbastell jagar mest i närområdet kring kolonierna, men gör också regelbundet besök i skogsområdena runtom och jagar där bl.a. i äldre typ av skog som ännu bär spår av utmarksbete. Data från både västra och östra Småland visar att de regelbundet flyger minst 4 km från kolonimiljöerna. Mycket av dessa skogar har avverkats och ersatts av kalhyggen och planterade ungskogar vilket troligen är huvudorsaken till försvinnandet av flera kolonier och populationens tillbakagång i norra delen av utbredningsområdet (SLU Artdatabanken, 2024; Ahlén, 2015).</w:t>
      </w:r>
    </w:p>
    <w:p>
      <w:r>
        <w:t>Eftersom det handlar om rörliga djur som snabbt förflyttar sig över stora områden, måste det inte alltid vara ett sammanhängande skyddat område utan huvudsaken är att man bevarar tillräcklig mängd viktiga miljöer i ett område på ca 15–20 km2.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Bevarandet av de miljöer som barbastellen är beroende av skogsbrukets och jordbrukets miljöhänsyn. Ett anpassat skogsbruk, med kontinuitetskogsbruk samt bevarande av brynmiljöer i skogs- och jordbrukslandskapet är viktiga åtgärder (SLU Artdatabanken, 2024; Ahlén, 2015).</w:t>
      </w:r>
    </w:p>
    <w:p>
      <w:r>
        <w:t>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En förändring från småskalig till mer storskalig fragmentering av skogsmark är negativt. Om insektsrika biotoper som fuktiga äldre skogar och betesmarker blir alltför glest förekommande så försvinner underlaget för att kunna bilda kolonier. Dränering av skogsmark, igenplantering av betesmarker, minskad lövrikedom, försämrad brynkvalitet är exempel på åtgärder som kan påverka habitatkvaliteten negativt. De viktigaste områdena för barbastellen bör säkras inom Natura 2000-nätverket enligt Habitatdirektivets bilaga 2 (SLU Artdatabanken, 2024; Ahlén, 2015).</w:t>
      </w:r>
    </w:p>
    <w:p>
      <w:pPr>
        <w:pStyle w:val="Heading2"/>
      </w:pPr>
      <w:r>
        <w:t>Referenser – barbastell</w:t>
      </w:r>
    </w:p>
    <w:p>
      <w:r>
        <w:t xml:space="preserve">Ahlén, I., 2015. </w:t>
      </w:r>
      <w:r>
        <w:rPr>
          <w:i/>
        </w:rPr>
        <w:t>Åtgärdsprogram för barbastell, 2015–2019 (Barbastella barbastellus)</w:t>
      </w:r>
      <w:r>
        <w:t>. Naturvårdsverket. Rapport: 6532.</w:t>
      </w:r>
    </w:p>
    <w:p>
      <w:r>
        <w:t xml:space="preserve">IUCN, 2016. </w:t>
      </w:r>
      <w:r>
        <w:rPr>
          <w:i/>
        </w:rPr>
        <w:t>Barbastella barbastellus</w:t>
      </w:r>
      <w:r>
        <w:t>. The IUCN Red List of Threatened Species.</w:t>
      </w:r>
    </w:p>
    <w:p>
      <w:r>
        <w:t xml:space="preserve">SLU Artdatabanken, 2024. </w:t>
      </w:r>
      <w:r>
        <w:rPr>
          <w:i/>
        </w:rPr>
        <w:t>Artfakta: barbastell (Barbastella barbastellus).</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