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462-2023 i Östra Göinge kommun</w:t>
      </w:r>
    </w:p>
    <w:p>
      <w:r>
        <w:t>Detta klagomål behandlar höga naturvärden i samrådsanmälan S 462-2023 i Östra Göinge kommun som inkom 2023-02-07 och omfattar 45,9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S 462-2023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6238450, E 439121 i SWEREF 99 TM.</w:t>
      </w:r>
    </w:p>
    <w:p>
      <w:r>
        <w:t>Inom 13 meter från samrådsanmälan finns fynd av 4 naturvårdsarter, varav 1 är rödlistad, 2 är fridlysta, 1 är typisk (T) och 1 är signalart (S): kandelabersvamp (NT, T), brandticka (S),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