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32367-2024 i Östra Göinge kommun</w:t>
      </w:r>
    </w:p>
    <w:p>
      <w:r>
        <w:t>Detta dokument behandlar höga naturvärden i avverkningsanmälan A 32367-2024 i Östra Göinge kommun. Denna avverkningsanmälan inkom 2024-08-08 13:57:59 och omfattar 5,4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blomkålssvamp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7275048"/>
            <wp:docPr id="1" name="Picture 1"/>
            <wp:cNvGraphicFramePr>
              <a:graphicFrameLocks noChangeAspect="1"/>
            </wp:cNvGraphicFramePr>
            <a:graphic>
              <a:graphicData uri="http://schemas.openxmlformats.org/drawingml/2006/picture">
                <pic:pic>
                  <pic:nvPicPr>
                    <pic:cNvPr id="0" name="A 32367-2024 karta.png"/>
                    <pic:cNvPicPr/>
                  </pic:nvPicPr>
                  <pic:blipFill>
                    <a:blip r:embed="rId16"/>
                    <a:stretch>
                      <a:fillRect/>
                    </a:stretch>
                  </pic:blipFill>
                  <pic:spPr>
                    <a:xfrm>
                      <a:off x="0" y="0"/>
                      <a:ext cx="5486400" cy="72750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6240403, E 444150 i SWEREF 99 TM.</w:t>
      </w:r>
    </w:p>
    <w:p>
      <w:r>
        <w:rPr>
          <w:b/>
        </w:rPr>
        <w:t xml:space="preserve">Blomkålssvamp </w:t>
      </w:r>
      <w:r>
        <w:t>är en parasit och vednedbrytare som växer på rötter och basala stamdelar av tall, enstaka gånger även på lärk och gran. Träden är oftast mycket gamla, gärna 150–200 år eller äldre. När blomkålssvamp påträffas i skogslandskapet signalerar den vanligtvis skyddsvärda tallbestånd med höga naturvärden. Den är då främst knuten till gamla skogar, oftast tallnaturskogar och olika restbiotoper där det förekommer biologiskt gamla träd. Samtliga tallar med blomkålssvamp bör klassas som naturvårdsträd och lämnas som framtida ”evighetsträd”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2025-09-07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