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25960-2023 i Örkelljunga kommun</w:t>
      </w:r>
    </w:p>
    <w:p>
      <w:r>
        <w:t>Detta klagomål behandlar höga naturvärden i avverkningsanmälan A 25960-2023 i Örkelljunga kommun som inkom 2023-06-13 och omfattar 1,9 ha.</w:t>
      </w:r>
    </w:p>
    <w:p>
      <w:pPr>
        <w:pStyle w:val="Caption"/>
      </w:pPr>
      <w:r>
        <w:drawing>
          <wp:inline xmlns:a="http://schemas.openxmlformats.org/drawingml/2006/main" xmlns:pic="http://schemas.openxmlformats.org/drawingml/2006/picture">
            <wp:extent cx="5486400" cy="4206240"/>
            <wp:docPr id="1" name="Picture 1"/>
            <wp:cNvGraphicFramePr>
              <a:graphicFrameLocks noChangeAspect="1"/>
            </wp:cNvGraphicFramePr>
            <a:graphic>
              <a:graphicData uri="http://schemas.openxmlformats.org/drawingml/2006/picture">
                <pic:pic>
                  <pic:nvPicPr>
                    <pic:cNvPr id="0" name="A 25960-2023 karta.png"/>
                    <pic:cNvPicPr/>
                  </pic:nvPicPr>
                  <pic:blipFill>
                    <a:blip r:embed="rId16"/>
                    <a:stretch>
                      <a:fillRect/>
                    </a:stretch>
                  </pic:blipFill>
                  <pic:spPr>
                    <a:xfrm>
                      <a:off x="0" y="0"/>
                      <a:ext cx="5486400" cy="420624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6238736, E 398080 i SWEREF 99 TM.</w:t>
      </w:r>
    </w:p>
    <w:p>
      <w:r>
        <w:t>Inom 18 meter från avverkningsanmälan finns fynd av 3 naturvårdsarter, varav 1 är rödlistad, 3 är typiska (T) och 2 är signalarter (S): bokkantlav (NT, T), guldlockmossa (S,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