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5927-2023 i Örkelljunga kommun</w:t>
      </w:r>
    </w:p>
    <w:p>
      <w:r>
        <w:t>Denna tillsynsbegäran behandlar höga naturvärden i avverkningsanmälan A 5927-2023 i Örkelljunga kommun som inkom 2023-02-06 och omfattar 0,9 ha.</w:t>
      </w:r>
    </w:p>
    <w:p>
      <w:pPr>
        <w:pStyle w:val="Caption"/>
      </w:pPr>
      <w:r>
        <w:drawing>
          <wp:inline xmlns:a="http://schemas.openxmlformats.org/drawingml/2006/main" xmlns:pic="http://schemas.openxmlformats.org/drawingml/2006/picture">
            <wp:extent cx="5486400" cy="4634376"/>
            <wp:docPr id="1" name="Picture 1"/>
            <wp:cNvGraphicFramePr>
              <a:graphicFrameLocks noChangeAspect="1"/>
            </wp:cNvGraphicFramePr>
            <a:graphic>
              <a:graphicData uri="http://schemas.openxmlformats.org/drawingml/2006/picture">
                <pic:pic>
                  <pic:nvPicPr>
                    <pic:cNvPr id="0" name="A 5927-2023 karta.png"/>
                    <pic:cNvPicPr/>
                  </pic:nvPicPr>
                  <pic:blipFill>
                    <a:blip r:embed="rId16"/>
                    <a:stretch>
                      <a:fillRect/>
                    </a:stretch>
                  </pic:blipFill>
                  <pic:spPr>
                    <a:xfrm>
                      <a:off x="0" y="0"/>
                      <a:ext cx="5486400" cy="463437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6243156, E 405808 i SWEREF 99 TM.</w:t>
      </w:r>
    </w:p>
    <w:p>
      <w:r>
        <w:t>Inom 24 meter från avverkningsanmälan finns fynd av 4 naturvårdsarter, varav 4 är rödlistade och 2 är fridlysta: skogsalm (EN), hussvala (VU, §4), ladusvala (NT, §4) och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