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2856-2024 i Örkelljunga kommun</w:t>
      </w:r>
    </w:p>
    <w:p>
      <w:r>
        <w:t>Denna tillsynsbegäran behandlar höga naturvärden i samrådsanmälan S 2856-2024 i Örkelljunga kommun som inkom 2024-07-23 och omfattar 0,9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S 2856-2024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6241628, E 388434 i SWEREF 99 TM.</w:t>
      </w:r>
    </w:p>
    <w:p>
      <w:r>
        <w:t>I och inom 23 meter från samrådsanmälan finns fynd av 12 naturvårdsarter, varav 4 är rödlistade, 10 är typiska (T) och 8 är signalarter (S): bokvårtlav (NT, T), dunmossa (NT, T), flikbålmossa (NT), gullpudra (NT, T), blåmossa (S, T), blåsfliksmossa (S, T), platt fjädermossa (S, T), skogshakmossa (S, T), skuggsprötmossa (S, T), trubbfjädermossa (S, T), västlig hakmossa (S) och västlig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dunmossa (NT, T), gullpudra (NT, T), blåmossa (S, T), blåsfliksmossa (S, T), platt fjädermossa (S, T), skogshakmossa (S, T), skuggsprötmossa (S, T), trubbfjädermossa (S, T) och västlig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