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2212-2023 i Örkelljunga kommun</w:t>
      </w:r>
    </w:p>
    <w:p>
      <w:r>
        <w:t>Denna tillsynsbegäran behandlar höga naturvärden i samrådsanmälan S 2212-2023 i Örkelljunga kommun som inkom 2023-06-22 och omfattar 74,4 ha.</w:t>
      </w:r>
    </w:p>
    <w:p>
      <w:pPr>
        <w:pStyle w:val="Caption"/>
      </w:pPr>
      <w:r>
        <w:drawing>
          <wp:inline xmlns:a="http://schemas.openxmlformats.org/drawingml/2006/main" xmlns:pic="http://schemas.openxmlformats.org/drawingml/2006/picture">
            <wp:extent cx="5486400" cy="1977744"/>
            <wp:docPr id="1" name="Picture 1"/>
            <wp:cNvGraphicFramePr>
              <a:graphicFrameLocks noChangeAspect="1"/>
            </wp:cNvGraphicFramePr>
            <a:graphic>
              <a:graphicData uri="http://schemas.openxmlformats.org/drawingml/2006/picture">
                <pic:pic>
                  <pic:nvPicPr>
                    <pic:cNvPr id="0" name="S 2212-2023 karta.png"/>
                    <pic:cNvPicPr/>
                  </pic:nvPicPr>
                  <pic:blipFill>
                    <a:blip r:embed="rId16"/>
                    <a:stretch>
                      <a:fillRect/>
                    </a:stretch>
                  </pic:blipFill>
                  <pic:spPr>
                    <a:xfrm>
                      <a:off x="0" y="0"/>
                      <a:ext cx="5486400" cy="197774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6232336, E 387742 i SWEREF 99 TM.</w:t>
      </w:r>
    </w:p>
    <w:p>
      <w:r>
        <w:t>I och inom 22 meter från samrådsanmälan finns fynd av 13 naturvårdsarter, varav 6 är rödlistade, 9 är fridlysta och 2 är typiska (T): entita (NT, T, §4), grönsångare (NT, §4), mörk dunört (NT), svart skogssnigel (NT), svinrot (NT), älg (NT), spillkråka (T, §4), kungsfågel (§4), röd glada (§4), svartvit flugsnappare (§4), kopparödla (§6),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