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2856-2024 i Örkelljunga kommun</w:t>
      </w:r>
    </w:p>
    <w:p>
      <w:r>
        <w:t>Detta klagomål behandlar höga naturvärden i samrådsanmälan S 2856-2024 i Örkelljunga kommun som inkom 2024-07-23 och omfattar 0,9 ha.</w:t>
      </w:r>
    </w:p>
    <w:p>
      <w:pPr>
        <w:pStyle w:val="Caption"/>
      </w:pPr>
      <w:r>
        <w:drawing>
          <wp:inline xmlns:a="http://schemas.openxmlformats.org/drawingml/2006/main" xmlns:pic="http://schemas.openxmlformats.org/drawingml/2006/picture">
            <wp:extent cx="5486400" cy="4432483"/>
            <wp:docPr id="1" name="Picture 1"/>
            <wp:cNvGraphicFramePr>
              <a:graphicFrameLocks noChangeAspect="1"/>
            </wp:cNvGraphicFramePr>
            <a:graphic>
              <a:graphicData uri="http://schemas.openxmlformats.org/drawingml/2006/picture">
                <pic:pic>
                  <pic:nvPicPr>
                    <pic:cNvPr id="0" name="S 2856-2024 karta.png"/>
                    <pic:cNvPicPr/>
                  </pic:nvPicPr>
                  <pic:blipFill>
                    <a:blip r:embed="rId16"/>
                    <a:stretch>
                      <a:fillRect/>
                    </a:stretch>
                  </pic:blipFill>
                  <pic:spPr>
                    <a:xfrm>
                      <a:off x="0" y="0"/>
                      <a:ext cx="5486400" cy="4432483"/>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6241628, E 388434 i SWEREF 99 TM.</w:t>
      </w:r>
    </w:p>
    <w:p>
      <w:r>
        <w:t>I och inom 23 meter från samrådsanmälan finns fynd av 12 naturvårdsarter, varav 4 är rödlistade, 10 är typiska (T) och 8 är signalarter (S): bokvårtlav (NT, T), dunmossa (NT, T), flikbålmossa (NT), gullpudra (NT, T), blåmossa (S, T), blåsfliksmossa (S, T), platt fjädermossa (S, T), skogshakmossa (S, T), skuggsprötmossa (S, T), trubbfjädermossa (S, T), västlig hakmossa (S) och västlig husmossa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Flikbålmossa (NT)</w:t>
      </w:r>
      <w:r>
        <w:t xml:space="preserve"> växer i rikkärr, källkärr och sumpskog. Arten förekommer främst i södra Sverige (sällsynt i Norrland). Dikning och igenväxning av rikkärr och minskning av sumpskog och källor i södra Sverige gör att arten bedöms ha en fortgående minskning (SLU Artdatabanken, 2026).</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Skuggsprötmossa</w:t>
      </w:r>
      <w:r>
        <w:t xml:space="preserve"> växer på rik och vanligen fuktig skogsmark, samt på trädbaser och block, i både lövskog och barrskog. Skuggsprötmossa är typisk art för </w:t>
      </w:r>
      <w:r>
        <w:rPr>
          <w:i/>
        </w:rPr>
        <w:t xml:space="preserve">9180 Ädellövskog i branter </w:t>
      </w:r>
      <w:r>
        <w:t>(SLU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Västlig husmossa </w:t>
      </w:r>
      <w:r>
        <w:t xml:space="preserve">signalerar skog med höga naturvärden. Den indikerar lång kontinuitet av ädellövskog och ofta är det fråga om urskogsartade ädellövskogsbiotoper där det förekommer ett flertal andra rödlistade arter. Den är placerad högst upp i Skogsstyrelsens värdepyramid för bedömning av skog med höga naturvärden och alla fynd av arten bör uppmärksammas, beläggas och rapporteras. Västlig husmossa är typisk art för </w:t>
      </w:r>
      <w:r>
        <w:rPr>
          <w:i/>
        </w:rPr>
        <w:t>9130 Näringsrik bokskog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