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59875-2025 i Bjuvs kommun</w:t>
      </w:r>
    </w:p>
    <w:p>
      <w:r>
        <w:t>Detta klagomål behandlar höga naturvärden i avverkningsanmälan A 59875-2025 i Bjuvs kommun som inkom 2025-12-02 och omfattar 3,9 ha.</w:t>
      </w:r>
    </w:p>
    <w:p>
      <w:pPr>
        <w:pStyle w:val="Caption"/>
      </w:pPr>
      <w:r>
        <w:drawing>
          <wp:inline xmlns:a="http://schemas.openxmlformats.org/drawingml/2006/main" xmlns:pic="http://schemas.openxmlformats.org/drawingml/2006/picture">
            <wp:extent cx="4319555" cy="5724000"/>
            <wp:docPr id="1" name="Picture 1"/>
            <wp:cNvGraphicFramePr>
              <a:graphicFrameLocks noChangeAspect="1"/>
            </wp:cNvGraphicFramePr>
            <a:graphic>
              <a:graphicData uri="http://schemas.openxmlformats.org/drawingml/2006/picture">
                <pic:pic>
                  <pic:nvPicPr>
                    <pic:cNvPr id="0" name="A 59875-2025 karta.png"/>
                    <pic:cNvPicPr/>
                  </pic:nvPicPr>
                  <pic:blipFill>
                    <a:blip r:embed="rId16"/>
                    <a:stretch>
                      <a:fillRect/>
                    </a:stretch>
                  </pic:blipFill>
                  <pic:spPr>
                    <a:xfrm>
                      <a:off x="0" y="0"/>
                      <a:ext cx="43195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6209783, E 372586 i SWEREF 99 TM.</w:t>
      </w:r>
    </w:p>
    <w:p>
      <w:r>
        <w:t>I avverkningsanmälan finns fynd av 6 naturvårdsarter, varav 3 är rödlistade, 6 är fridlysta och 2 är typiska (T): björktrast (NT, §4), duvhök (NT, §4), entita (NT, T, §4),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