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1481-2022 i Kävlinge kommun</w:t>
      </w:r>
    </w:p>
    <w:p>
      <w:r>
        <w:t>Denna tillsynsbegäran behandlar höga naturvärden i avverkningsanmälan A 1481-2022 i Kävlinge kommun som inkom 2022-01-12 och omfattar 7,8 ha.</w:t>
      </w:r>
    </w:p>
    <w:p>
      <w:pPr>
        <w:pStyle w:val="Caption"/>
      </w:pPr>
      <w:r>
        <w:drawing>
          <wp:inline xmlns:a="http://schemas.openxmlformats.org/drawingml/2006/main" xmlns:pic="http://schemas.openxmlformats.org/drawingml/2006/picture">
            <wp:extent cx="5259501" cy="5724000"/>
            <wp:docPr id="1" name="Picture 1"/>
            <wp:cNvGraphicFramePr>
              <a:graphicFrameLocks noChangeAspect="1"/>
            </wp:cNvGraphicFramePr>
            <a:graphic>
              <a:graphicData uri="http://schemas.openxmlformats.org/drawingml/2006/picture">
                <pic:pic>
                  <pic:nvPicPr>
                    <pic:cNvPr id="0" name="A 1481-2022 karta.png"/>
                    <pic:cNvPicPr/>
                  </pic:nvPicPr>
                  <pic:blipFill>
                    <a:blip r:embed="rId16"/>
                    <a:stretch>
                      <a:fillRect/>
                    </a:stretch>
                  </pic:blipFill>
                  <pic:spPr>
                    <a:xfrm>
                      <a:off x="0" y="0"/>
                      <a:ext cx="525950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6182139, E 378837 i SWEREF 99 TM.</w:t>
      </w:r>
    </w:p>
    <w:p>
      <w:r>
        <w:t>I och inom 25 meter från avverkningsanmälan finns fynd av 7 naturvårdsarter, varav 3 är rödlistade, 4 är fridlysta, 2 är typiska (T) och 2 är signalarter (S): grönsångare (NT, §4), kardinalrödrock (NT), sadelmurkla (NT), kragjordstjärna (S), skogsknipprot (S, T, §8),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Kardinalrödrock (NT) </w:t>
      </w:r>
      <w:r>
        <w:t>är en knäppare vars larvutveckling sker i tämligen fast och torr, brunrötad ved av lövträd, främst i grova, ihåliga, stående ekar med svavelticka, även i bok, ask och lind. Ekbestånd som innehåller grova, rötskadade träd bör lämnas. Arten är värmekrävande, varför röjning runt gamla ekar på vissa lokaler för att öka solinstrålningen är gynnsam. En långsiktig planering för att rekrytera ekar ur yngre generationer till att bli framtida hålekar på en del av lokalerna är också av stor vikt. Kardinalrödrock är globalt rödlistad som nära hotad (NT) vilket innebär att Sverige har ett internationellt ansvar för arten (SLU Artdatabanken, 2026; IUCN, 2023).</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