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1481-2022 i Kävlinge kommun</w:t>
      </w:r>
    </w:p>
    <w:p>
      <w:r>
        <w:t>Detta klagomål behandlar höga naturvärden i avverkningsanmälan A 1481-2022 i Kävlinge kommun som inkom 2022-01-12 och omfattar 7,8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A 1481-2022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6182139, E 378837 i SWEREF 99 TM.</w:t>
      </w:r>
    </w:p>
    <w:p>
      <w:r>
        <w:t>I och inom 25 meter från avverkningsanmälan finns fynd av 7 naturvårdsarter, varav 3 är rödlistade, 4 är fridlysta, 2 är typiska (T) och 2 är signalarter (S): grönsångare (NT, §4), kardinalrödrock (NT), sadelmurkla (NT), kragjordstjärna (S), skogsknipprot (S, T, §8),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