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som inkom 2023-06-27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15 naturvårdsarter hittats: blå kärrhök (VU, §4), grönfink (VU, §4), entita (NT, T, §4), grönsångare (NT, §4), gulsparv (NT, §4), mindre hackspett (NT, T, §4), skogsknipprot (S, T, §8), spillkråka (T, §4), gröngöling (§4), kungsfågel (§4), röd glada (§4), skogsduva (§4), trana (§4), åkergroda (§4a)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2"/>
      </w:pPr>
      <w:r>
        <w:t>Fridlysta arter</w:t>
      </w:r>
    </w:p>
    <w:p>
      <w:r>
        <w:t>Följande fridlysta arter har sina livsmiljöer och växtplatser i den avverkningsanmälda skogen: blå kärrhök (VU, §4), grönfink (VU, §4), entita (NT, T, §4), grönsångare (NT, §4), gulsparv (NT, §4), mindre hackspett (NT, T, §4), skogsknipprot (S, T, §8), spillkråka (T, §4), gröngöling (§4), kungsfågel (§4), röd glada (§4), skogsduva (§4), trana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