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628-2025 i Svedala kommun</w:t>
      </w:r>
    </w:p>
    <w:p>
      <w:r>
        <w:t>Detta klagomål behandlar höga naturvärden i samrådsanmälan S 628-2025 i Svedala kommun som inkom 2025-02-26 och omfattar 67,0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S 628-2025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6156009, E 391703 i SWEREF 99 TM.</w:t>
      </w:r>
    </w:p>
    <w:p>
      <w:r>
        <w:t>I och inom 18 meter från samrådsanmälan finns fynd av 22 naturvårdsarter, varav 9 är rödlistade, 18 är fridlysta, 5 är typiska (T) och 2 är signalarter (S): skogsalm (EN), blå kärrhök (VU, §4), grenticka (VU), grönfink (VU, §4), entita (NT, T, §4), grönsångare (NT, §4), gulsparv (NT, §4), mindre hackspett (NT, T, §4), oxtungssvamp (NT), myskmadra (S, T), skogsknipprot (S, T, §8), spillkråka (T, §4), citronfläckad kärrtrollslända (§4a), gröngöling (§4), grönsiska (§4), kungsfågel (§4), röd glada (§4), skogsduva (§4), trana (§4), åkergroda (§4a), kopparödla (§6) och ätlig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Grenticka (VU)</w:t>
      </w:r>
      <w:r>
        <w:t xml:space="preserve"> är en nedbrytare i stubbar och levande stammar av gamla ekar och bokar, mer sällan andra trädslag. Funnen i ek- och bokskog samt hagmark och park. Arten hotas av att äldre bestånd av ek eller bok i hagmarks- eller skogsmiljö avverkas och ersätts med likåldriga barr- eller lövbestånd. Skogs- och hagmark som hyser arten måste skyddas. Äldre bestånd av bok och ek måste bevaras i tillräcklig utsträckning för att grentickan ska kunna fortleva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