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9570-2026 i Svedala kommun</w:t>
      </w:r>
    </w:p>
    <w:p>
      <w:r>
        <w:t>Detta klagomål behandlar höga naturvärden i avverkningsanmälan A 9570-2026 i Svedala kommun som inkom 2026-02-17 och omfattar 6,6 ha.</w:t>
      </w:r>
    </w:p>
    <w:p>
      <w:pPr>
        <w:pStyle w:val="Caption"/>
      </w:pPr>
      <w:r>
        <w:drawing>
          <wp:inline xmlns:a="http://schemas.openxmlformats.org/drawingml/2006/main" xmlns:pic="http://schemas.openxmlformats.org/drawingml/2006/picture">
            <wp:extent cx="5486400" cy="4724896"/>
            <wp:docPr id="1" name="Picture 1"/>
            <wp:cNvGraphicFramePr>
              <a:graphicFrameLocks noChangeAspect="1"/>
            </wp:cNvGraphicFramePr>
            <a:graphic>
              <a:graphicData uri="http://schemas.openxmlformats.org/drawingml/2006/picture">
                <pic:pic>
                  <pic:nvPicPr>
                    <pic:cNvPr id="0" name="A 9570-2026 karta.png"/>
                    <pic:cNvPicPr/>
                  </pic:nvPicPr>
                  <pic:blipFill>
                    <a:blip r:embed="rId16"/>
                    <a:stretch>
                      <a:fillRect/>
                    </a:stretch>
                  </pic:blipFill>
                  <pic:spPr>
                    <a:xfrm>
                      <a:off x="0" y="0"/>
                      <a:ext cx="5486400" cy="472489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6154724, E 402109 i SWEREF 99 TM.</w:t>
      </w:r>
    </w:p>
    <w:p>
      <w:r>
        <w:t>Inom 22 meter från avverkningsanmälan finns fynd av 2 naturvårdsarter, varav 2 är fridlysta: lövgroda (§4a) och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Lövgroda (§4a)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Lövgroda – ekologi samt krav på livsmiljön</w:t>
      </w:r>
    </w:p>
    <w:p>
      <w:r>
        <w:t>Lövgroda (§4a)</w:t>
      </w:r>
      <w:r>
        <w:rPr>
          <w:b/>
        </w:rPr>
        <w:t xml:space="preserve">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De mest betydelsefulla biotoperna för arten i Skåne utgörs av naturbetesmarker med en mosaik av högörtsängar, öppen gräsmark, träd, buskage och dungar. Lövskogsbrynens buskridåer av hassel, hagtorn, slån, nypon, olvon, fläder och björnbär spelar en viktig roll efter lekperioden. I sydvända bryn kan lövgrodorna finna varma och skyddade miljöer ända till långt in på hösten. Lekvatten med omgivande naturbetesmarker, lövbusk- och lövträdsbestånd bör skyddas och anläggning av stora fiskfria våtmarker inom lämpliga landmiljöer är positivt för arten (SLU Artdatabanken, 2024).</w:t>
      </w:r>
    </w:p>
    <w:p>
      <w:pPr>
        <w:pStyle w:val="Heading2"/>
      </w:pPr>
      <w:r>
        <w:t>Referenser – lövgroda</w:t>
      </w:r>
    </w:p>
    <w:p>
      <w:r>
        <w:t>SLU Artdatabanken, 2024.</w:t>
      </w:r>
      <w:r>
        <w:rPr>
          <w:i/>
        </w:rPr>
        <w:t xml:space="preserve">  Artfakta: lövgroda (Hyla arborea). </w:t>
      </w:r>
      <w:r>
        <w:t>https://artfakta.se/taxa/100069</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