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29032-2023 i Svedala kommun</w:t>
      </w:r>
    </w:p>
    <w:p>
      <w:r>
        <w:t>Detta klagomål behandlar höga naturvärden i avverkningsanmälan A 29032-2023 i Svedala kommun som inkom 2023-06-27 och omfattar 2,0 ha.</w:t>
      </w:r>
    </w:p>
    <w:p>
      <w:pPr>
        <w:pStyle w:val="Caption"/>
      </w:pPr>
      <w:r>
        <w:drawing>
          <wp:inline xmlns:a="http://schemas.openxmlformats.org/drawingml/2006/main" xmlns:pic="http://schemas.openxmlformats.org/drawingml/2006/picture">
            <wp:extent cx="5486400" cy="4512556"/>
            <wp:docPr id="1" name="Picture 1"/>
            <wp:cNvGraphicFramePr>
              <a:graphicFrameLocks noChangeAspect="1"/>
            </wp:cNvGraphicFramePr>
            <a:graphic>
              <a:graphicData uri="http://schemas.openxmlformats.org/drawingml/2006/picture">
                <pic:pic>
                  <pic:nvPicPr>
                    <pic:cNvPr id="0" name="A 29032-2023 karta.png"/>
                    <pic:cNvPicPr/>
                  </pic:nvPicPr>
                  <pic:blipFill>
                    <a:blip r:embed="rId16"/>
                    <a:stretch>
                      <a:fillRect/>
                    </a:stretch>
                  </pic:blipFill>
                  <pic:spPr>
                    <a:xfrm>
                      <a:off x="0" y="0"/>
                      <a:ext cx="5486400" cy="4512556"/>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6157192, E 391689 i SWEREF 99 TM.</w:t>
      </w:r>
    </w:p>
    <w:p>
      <w:r>
        <w:t>I och inom 5 meter från avverkningsanmälan finns fynd av 15 naturvårdsarter, varav 6 är rödlistade, 15 är fridlysta, 4 är typiska (T) och 1 är signalart (S): blå kärrhök (VU, §4), grönfink (VU, §4), entita (NT, T, §4), grönsångare (NT, §4), gulsparv (NT, §4), mindre hackspett (NT, T, §4), skogsknipprot (S, T, §8), spillkråka (T, §4), gröngöling (§4), kungsfågel (§4), röd glada (§4), skogsduva (§4), trana (§4), åkergroda (§4a) och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Skogsknipprot (§8)</w:t>
      </w:r>
      <w:r>
        <w:t xml:space="preserve"> är fridlyst enligt 8§ artskyddsförordningen och typisk art för </w:t>
      </w:r>
      <w:r>
        <w:rPr>
          <w:i/>
        </w:rPr>
        <w:t>9050 Näringsrik granskog</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