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25049-2026 i Svedala kommun</w:t>
      </w:r>
    </w:p>
    <w:p>
      <w:r>
        <w:t>Detta klagomål behandlar höga naturvärden i avverkningsanmälan A 25049-2026 i Svedala kommun som inkom 2026-06-01 och omfattar 1,3 ha.</w:t>
      </w:r>
    </w:p>
    <w:p>
      <w:pPr>
        <w:pStyle w:val="Caption"/>
      </w:pPr>
      <w:r>
        <w:drawing>
          <wp:inline xmlns:a="http://schemas.openxmlformats.org/drawingml/2006/main" xmlns:pic="http://schemas.openxmlformats.org/drawingml/2006/picture">
            <wp:extent cx="5486400" cy="4892511"/>
            <wp:docPr id="1" name="Picture 1"/>
            <wp:cNvGraphicFramePr>
              <a:graphicFrameLocks noChangeAspect="1"/>
            </wp:cNvGraphicFramePr>
            <a:graphic>
              <a:graphicData uri="http://schemas.openxmlformats.org/drawingml/2006/picture">
                <pic:pic>
                  <pic:nvPicPr>
                    <pic:cNvPr id="0" name="A 25049-2026 karta.png"/>
                    <pic:cNvPicPr/>
                  </pic:nvPicPr>
                  <pic:blipFill>
                    <a:blip r:embed="rId16"/>
                    <a:stretch>
                      <a:fillRect/>
                    </a:stretch>
                  </pic:blipFill>
                  <pic:spPr>
                    <a:xfrm>
                      <a:off x="0" y="0"/>
                      <a:ext cx="5486400" cy="489251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6153113, E 400799 i SWEREF 99 TM.</w:t>
      </w:r>
    </w:p>
    <w:p>
      <w:r>
        <w:t>Inom 21 meter från avverkningsanmälan finns fynd av 5 naturvårdsarter, varav 2 är rödlistade och 5 är fridlysta: vit stork (EN, §4), bivråk (NT, §4), fiskgjuse (§4), havsörn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