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28247-2025 i Svedala kommun</w:t>
      </w:r>
    </w:p>
    <w:p>
      <w:r>
        <w:t>Detta dokument behandlar höga naturvärden i avverkningsanmälan A 28247-2025 i Svedala kommun. Denna avverkningsanmälan inkom 2025-06-10 00:00:00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skugglosta (NT) och nästrot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8024"/>
            <wp:docPr id="1" name="Picture 1"/>
            <wp:cNvGraphicFramePr>
              <a:graphicFrameLocks noChangeAspect="1"/>
            </wp:cNvGraphicFramePr>
            <a:graphic>
              <a:graphicData uri="http://schemas.openxmlformats.org/drawingml/2006/picture">
                <pic:pic>
                  <pic:nvPicPr>
                    <pic:cNvPr id="0" name="A 28247-2025 karta.png"/>
                    <pic:cNvPicPr/>
                  </pic:nvPicPr>
                  <pic:blipFill>
                    <a:blip r:embed="rId16"/>
                    <a:stretch>
                      <a:fillRect/>
                    </a:stretch>
                  </pic:blipFill>
                  <pic:spPr>
                    <a:xfrm>
                      <a:off x="0" y="0"/>
                      <a:ext cx="5486400" cy="4968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6149654, E 398480 i SWEREF 99 TM.</w:t>
      </w:r>
    </w:p>
    <w:p>
      <w:r>
        <w:rPr>
          <w:b/>
        </w:rPr>
        <w:t xml:space="preserve">Skugglosta (NT) </w:t>
      </w:r>
      <w:r>
        <w:t>är ett sällsynt och exklusivt lundgräs som framför allt växer i ädellövskog men ofta även i örtrik barrskog. Den finns på både väldränerade marker och i små översilningskärr. Arten är kalkgynnad och förekommer inte på mark med pH under 5,0. Arten är placerad högst upp i Skogsstyrelsens värdepyramid för bedömning av skog med höga naturvärden och på växtplatserna finns normalt många andra rödlistade och hotade arter (SLU Artdatabanken, 2024; Nitare &amp; Skogsstyrelsen, 2019).</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