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31697-2023 i Svedala kommun</w:t>
      </w:r>
    </w:p>
    <w:p>
      <w:r>
        <w:t>Detta dokument behandlar höga naturvärden i avverkningsanmälan A 31697-2023 i Svedala kommun. Denna avverkningsanmälan inkom 2023-07-10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lövgroda (§4a) och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31697-2023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6152924, E 401138 i SWEREF 99 TM.</w:t>
      </w:r>
    </w:p>
    <w:p>
      <w:pPr>
        <w:pStyle w:val="Heading1"/>
      </w:pPr>
      <w:r>
        <w:t>Fridlysta arter</w:t>
      </w:r>
    </w:p>
    <w:p>
      <w:r>
        <w:t>Följande fridlysta arter har sina livsmiljöer och växtplatser i den avverkningsanmälda skogen: lövgroda (§4a) och större vattensalamander (§4a).</w:t>
      </w:r>
    </w:p>
    <w:p>
      <w:r>
        <w:rPr>
          <w:b/>
        </w:rPr>
        <w:t xml:space="preserve">Lövgroda (§4a)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Lövgroda – ekologi samt krav på livsmiljön</w:t>
      </w:r>
    </w:p>
    <w:p>
      <w:r>
        <w:t>Lövgroda (NT, §4a)</w:t>
      </w:r>
      <w:r>
        <w:rPr>
          <w:b/>
        </w:rPr>
        <w:t xml:space="preserve">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t>De mest betydelsefulla biotoperna för arten i Skåne utgörs av naturbetesmarker med en mosaik av högörtsängar, öppen gräsmark, träd, buskage och dungar. Lövskogsbrynens buskridåer av hassel, hagtorn, slån, nypon, olvon, fläder och björnbär spelar en viktig roll efter lekperioden. I sydvända bryn kan lövgrodorna finna varma och skyddade miljöer ända till långt in på hösten. Lekvatten med omgivande naturbetesmarker, lövbusk- och lövträdsbestånd bör skyddas och anläggning av stora fiskfria våtmarker inom lämpliga landmiljöer är positivt för arten (SLU Artdatabanken, 2024).</w:t>
      </w:r>
    </w:p>
    <w:p>
      <w:pPr>
        <w:pStyle w:val="Heading2"/>
      </w:pPr>
      <w:r>
        <w:t>Referenser – lövgroda</w:t>
      </w:r>
    </w:p>
    <w:p>
      <w:r>
        <w:t>SLU Artdatabanken, 2024.</w:t>
      </w:r>
      <w:r>
        <w:rPr>
          <w:i/>
        </w:rPr>
        <w:t xml:space="preserve">  Artfakta: lövgroda (Hyla arborea). </w:t>
      </w:r>
      <w:r>
        <w:t>https://artfakta.se/taxa/100069</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