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16122-2024 i Svedala kommun</w:t>
      </w:r>
    </w:p>
    <w:p>
      <w:r>
        <w:t>Detta dokument behandlar höga naturvärden i avverkningsanmälan A 16122-2024 i Svedala kommun. Denna avverkningsanmälan inkom 2024-04-24 och omfattar 15,2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oxtungssvamp (NT) och myskmadra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18333"/>
            <wp:docPr id="1" name="Picture 1"/>
            <wp:cNvGraphicFramePr>
              <a:graphicFrameLocks noChangeAspect="1"/>
            </wp:cNvGraphicFramePr>
            <a:graphic>
              <a:graphicData uri="http://schemas.openxmlformats.org/drawingml/2006/picture">
                <pic:pic>
                  <pic:nvPicPr>
                    <pic:cNvPr id="0" name="A 16122-2024 karta.png"/>
                    <pic:cNvPicPr/>
                  </pic:nvPicPr>
                  <pic:blipFill>
                    <a:blip r:embed="rId16"/>
                    <a:stretch>
                      <a:fillRect/>
                    </a:stretch>
                  </pic:blipFill>
                  <pic:spPr>
                    <a:xfrm>
                      <a:off x="0" y="0"/>
                      <a:ext cx="5486400" cy="39183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6154900, E 391708 i SWEREF 99 TM.</w:t>
      </w:r>
    </w:p>
    <w:p>
      <w:r>
        <w:rPr>
          <w:b/>
        </w:rPr>
        <w:t>Oxtungssvamp (NT)</w:t>
      </w:r>
      <w:r>
        <w:t xml:space="preserve"> växer nästan uteslutande på flerhundraåriga jätteekar i kulturlandskapet, till exempel i ekhagar och vid vägkanter, men kan även leva kvar på dess träd i mer slutna bestånd. Arten hotas av avverkning av värdträd och passande värdträd runt fyndplatserna samt av att olikåldriga bestånd med grov ek i hagmarks- och skogsmiljö avverkas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