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25062-2026 i Svedala kommun</w:t>
      </w:r>
    </w:p>
    <w:p>
      <w:r>
        <w:t>Detta klagomål behandlar höga naturvärden i avverkningsanmälan A 25062-2026 i Svedala kommun som inkom 2026-06-01 och omfattar 3,3 ha.</w:t>
      </w:r>
    </w:p>
    <w:p>
      <w:pPr>
        <w:pStyle w:val="Caption"/>
      </w:pPr>
      <w:r>
        <w:drawing>
          <wp:inline xmlns:a="http://schemas.openxmlformats.org/drawingml/2006/main" xmlns:pic="http://schemas.openxmlformats.org/drawingml/2006/picture">
            <wp:extent cx="5371441" cy="5724000"/>
            <wp:docPr id="1" name="Picture 1"/>
            <wp:cNvGraphicFramePr>
              <a:graphicFrameLocks noChangeAspect="1"/>
            </wp:cNvGraphicFramePr>
            <a:graphic>
              <a:graphicData uri="http://schemas.openxmlformats.org/drawingml/2006/picture">
                <pic:pic>
                  <pic:nvPicPr>
                    <pic:cNvPr id="0" name="A 25062-2026 karta.png"/>
                    <pic:cNvPicPr/>
                  </pic:nvPicPr>
                  <pic:blipFill>
                    <a:blip r:embed="rId16"/>
                    <a:stretch>
                      <a:fillRect/>
                    </a:stretch>
                  </pic:blipFill>
                  <pic:spPr>
                    <a:xfrm>
                      <a:off x="0" y="0"/>
                      <a:ext cx="5371441"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6149969, E 398757 i SWEREF 99 TM.</w:t>
      </w:r>
    </w:p>
    <w:p>
      <w:r>
        <w:t>I avverkningsanmälan finns fynd av 14 naturvårdsarter, varav 6 är rödlistade, 2 är fridlysta, 9 är typiska (T) och 7 är signalarter (S): ask (EN), lundäxing (EN), gullpudra (NT, T), skogsveronika (NT, T), sårläka (NT, T), vårärt (NT, T), hässleklocka (S, T), lundvårlök (S, T), myskmadra (S, T), rutbläcksvamp (S), skogsknipprot (S, T, §8), stor häxört (S), tibast (S, T) och sankt pers 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Lundäxing (EN)</w:t>
      </w:r>
      <w:r>
        <w:t xml:space="preserve"> är en starkt hotad art som förekommer naturligt i friska ädellövskogar, främst bokskogar, i Skåne och Halland. I resten av landet hittas den i parkmiljöer, äldre trädgårdar och sekundärt i lövskog. Lundäxingen har minskat kraftigt, sannolikt till följd av avverkning av ädellövskogar. Detta har lett till habitatförlust när lövskogarna ersatts med barrträdsplanteringar. Förekomster bör tas hänsyn till genom bevarande och återskapande av ädellövskogar (SLU Artdatabanken, 2026).</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r>
        <w:rPr>
          <w:b/>
        </w:rPr>
        <w:t xml:space="preserve">Hässleklocka </w:t>
      </w:r>
      <w:r>
        <w:t xml:space="preserve">är typisk art för </w:t>
      </w:r>
      <w:r>
        <w:rPr>
          <w:i/>
        </w:rPr>
        <w:t xml:space="preserve">9020 Nordlig ädellövskog </w:t>
      </w:r>
      <w:r>
        <w:t xml:space="preserve">och </w:t>
      </w:r>
      <w:r>
        <w:rPr>
          <w:i/>
        </w:rPr>
        <w:t xml:space="preserve">9180 Ädellövskog i branter </w:t>
      </w:r>
      <w:r>
        <w:t>(SLU Artdatabanken, 2025).</w:t>
      </w:r>
    </w:p>
    <w:p>
      <w:r>
        <w:rPr>
          <w:b/>
        </w:rPr>
        <w:t>Lundvårlök</w:t>
      </w:r>
      <w:r>
        <w:t xml:space="preserve"> visar på skyddsvärda ädellövskogar och lundar, men också på örtrika alkärr och andra lövskogsmiljöer med höga naturvärden. Många av dagens förekomster har en tydlig reliktkaraktär och är troligen mycket gamla kvarlevor från en tid då ädellövskogen hade större utbredning underden postglaciala värmetiden (stenålder-bronsåler). Lundvårlök är typisk art för </w:t>
      </w:r>
      <w:r>
        <w:rPr>
          <w:i/>
        </w:rPr>
        <w:t xml:space="preserve">9750 Svämlövskog </w:t>
      </w:r>
      <w:r>
        <w:t xml:space="preserve">och </w:t>
      </w:r>
      <w:r>
        <w:rPr>
          <w:i/>
        </w:rPr>
        <w:t xml:space="preserve">9760 Svämädellövskog </w:t>
      </w:r>
      <w:r>
        <w:t>(Nitare &amp; Skogsstyrelsen, 2019; SLU Artdatabanken, 2025).</w:t>
      </w:r>
    </w:p>
    <w:p>
      <w:r>
        <w:rPr>
          <w:b/>
        </w:rPr>
        <w:t xml:space="preserve">Myskmadra </w:t>
      </w:r>
      <w:r>
        <w:t xml:space="preserve">är en bra signalart i hela sitt utbredningsområde i såväl lövskogar, lundar som kalkbarrskogar. Särskilt kräsen tycks den vara i norra delen av sitt utbredningsområde. Många naturliga växtplatser är av reliktkaraktär och växten indikerar här långvarig ekologisk kontinuitet. Arten är känslig för såväl hårt bete som dagens storskaliga skogsbruksmetoder. Myskmadra är typisk art för </w:t>
      </w:r>
      <w:r>
        <w:rPr>
          <w:i/>
        </w:rPr>
        <w:t xml:space="preserve">9050 Näringsrik granskog, 9020 Nordlig ädellövskog, 9130 Näringsrik bokskog </w:t>
      </w:r>
      <w:r>
        <w:t xml:space="preserve">och </w:t>
      </w:r>
      <w:r>
        <w:rPr>
          <w:i/>
        </w:rPr>
        <w:t xml:space="preserve">9160 Näringsrik ekskog </w:t>
      </w:r>
      <w:r>
        <w:t>(Nitare &amp; Skogsstyrelsen, 2019; SLU Artdatabanken, 2025).</w:t>
      </w:r>
    </w:p>
    <w:p>
      <w:r>
        <w:rPr>
          <w:b/>
        </w:rPr>
        <w:t xml:space="preserve">Rutbläcksvamp </w:t>
      </w:r>
      <w:r>
        <w:t>är en värmeälskande förnasvamp som växer i gamla och örtrika ädellövskogar på kalkrik mark, särskilt ängsbokskog. Arten signalerar skogsmiljöer med höga naturvärden och förekommer ofta tillsammans med många ovanliga och rödlistade arter. Utanför Skåne och Halland är den mycket krävande i sitt val av växtplats och påträffas nästan enbart i exklusiva ädellövskogar på kalk (Nitare &amp; Skogsstyrelsen, 2019).</w:t>
      </w:r>
    </w:p>
    <w:p>
      <w:r>
        <w:rPr>
          <w:b/>
        </w:rPr>
        <w:t>Skogsknipprot (§8)</w:t>
      </w:r>
      <w:r>
        <w:t xml:space="preserve"> är fridlyst enligt 8§ artskyddsförordningen och typisk art för </w:t>
      </w:r>
      <w:r>
        <w:rPr>
          <w:i/>
        </w:rPr>
        <w:t>9050 Näringsrik granskog</w:t>
      </w:r>
      <w:r>
        <w:t xml:space="preserve"> (SLU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