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28247-2025 i Svedala kommun</w:t>
      </w:r>
    </w:p>
    <w:p>
      <w:r>
        <w:t>Detta klagomål behandlar höga naturvärden i avverkningsanmälan A 28247-2025 i Svedala kommun som inkom 2025-06-10 och omfattar 6,2 ha.</w:t>
      </w:r>
    </w:p>
    <w:p>
      <w:pPr>
        <w:pStyle w:val="Caption"/>
      </w:pPr>
      <w:r>
        <w:drawing>
          <wp:inline xmlns:a="http://schemas.openxmlformats.org/drawingml/2006/main" xmlns:pic="http://schemas.openxmlformats.org/drawingml/2006/picture">
            <wp:extent cx="5486400" cy="4679198"/>
            <wp:docPr id="1" name="Picture 1"/>
            <wp:cNvGraphicFramePr>
              <a:graphicFrameLocks noChangeAspect="1"/>
            </wp:cNvGraphicFramePr>
            <a:graphic>
              <a:graphicData uri="http://schemas.openxmlformats.org/drawingml/2006/picture">
                <pic:pic>
                  <pic:nvPicPr>
                    <pic:cNvPr id="0" name="A 28247-2025 karta.png"/>
                    <pic:cNvPicPr/>
                  </pic:nvPicPr>
                  <pic:blipFill>
                    <a:blip r:embed="rId16"/>
                    <a:stretch>
                      <a:fillRect/>
                    </a:stretch>
                  </pic:blipFill>
                  <pic:spPr>
                    <a:xfrm>
                      <a:off x="0" y="0"/>
                      <a:ext cx="5486400" cy="467919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6149654, E 398480 i SWEREF 99 TM.</w:t>
      </w:r>
    </w:p>
    <w:p>
      <w:r>
        <w:t>I och inom 22 meter från avverkningsanmälan finns fynd av 7 naturvårdsarter, varav 2 är rödlistade, 2 är fridlysta, 2 är typiska (T) och 4 är signalarter (S): bokvårtlav (NT, T), skugglosta (NT), nästrot (S, §8), scharlakansskål (S), scharlakansvårskål agg. (S), trädporella (S, T)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 xml:space="preserve">Skugglosta (NT) </w:t>
      </w:r>
      <w:r>
        <w:t>är ett sällsynt och exklusivt lundgräs som framför allt växer i ädellövskog men ofta även i örtrik barrskog. Den finns på både väldränerade marker och i små översilningskärr. Arten är kalkgynnad och förekommer inte på mark med pH under 5,0. Arten är placerad högst upp i Skogsstyrelsens värdepyramid för bedömning av skog med höga naturvärden och på växtplatserna finns normalt många andra rödlistade och hotade arter (SLU Artdatabanken, 2024; Nitare &amp; Skogsstyrelsen, 2019).</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