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25062-2026 i Svedala kommun</w:t>
      </w:r>
    </w:p>
    <w:p>
      <w:r>
        <w:t>Denna tillsynsbegäran behandlar höga naturvärden i avverkningsanmälan A 25062-2026 i Svedala kommun som inkom 2026-06-01 och omfattar 3,3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5062-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6149969, E 398757 i SWEREF 99 TM.</w:t>
      </w:r>
    </w:p>
    <w:p>
      <w:r>
        <w:t>I avverkningsanmälan finns fynd av 14 naturvårdsarter, varav 6 är rödlistade, 2 är fridlysta, 9 är typiska (T) och 7 är signalarter (S): ask (EN), lundäxing (EN), gullpudra (NT, T), skogsveronika (NT, T), sårläka (NT, T), vårärt (NT, T), hässleklocka (S, T), lundvårlök (S, T), myskmadra (S, T), rutbläcksvamp (S), skogsknipprot (S, T, §8), stor häxört (S), tibast (S,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Lundäxing (EN)</w:t>
      </w:r>
      <w:r>
        <w:t xml:space="preserve"> är en starkt hotad art som förekommer naturligt i friska ädellövskogar, främst bokskogar, i Skåne och Halland. I resten av landet hittas den i parkmiljöer, äldre trädgårdar och sekundärt i lövskog. Lundäxingen har minskat kraftigt, sannolikt till följd av avverkning av ädellövskogar. Detta har lett till habitatförlust när lövskogarna ersatts med barrträdsplanteringar. Förekomster bör tas hänsyn till genom bevarande och återskapande av ädellövskogar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skogsveronika (NT, T), sårläka (NT, T), vårärt (NT, T), hässleklocka (S, T), lundvårlök (S, T), myskmadra (S, T), skogsknipprot (S, T, §8)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