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p>
      <w:r>
        <w:rPr>
          <w:b/>
        </w:rPr>
        <w:t>Månviol</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Skalbaggen </w:t>
      </w:r>
      <w:r>
        <w:rPr>
          <w:i/>
        </w:rPr>
        <w:t xml:space="preserve">Meligethes czwalinai </w:t>
      </w:r>
      <w:r>
        <w:t xml:space="preserve">(VU) har sin larvutveckling i blommor av månviol. Även de fullbildade skalbaggarna påträffas i värdväxtens blommor. Månviol är typisk art för </w:t>
      </w:r>
      <w:r>
        <w:rPr>
          <w:i/>
        </w:rPr>
        <w:t xml:space="preserve">9130 Näringsrik bokskog </w:t>
      </w:r>
      <w:r>
        <w:t>och</w:t>
      </w:r>
      <w:r>
        <w:rPr>
          <w:i/>
        </w:rPr>
        <w:t xml:space="preserve"> 9180 Ädellövskog i branter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