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28929-2022 i Sjöbo kommun</w:t>
      </w:r>
    </w:p>
    <w:p>
      <w:r>
        <w:t>Detta dokument behandlar höga naturvärden i avverkningsanmälan A 28929-2022 i Sjöbo kommun. Denna avverkningsanmälan inkom 2022-07-07 00:00:00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lövgroda (§4a) och större vattensalamander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040"/>
            <wp:docPr id="1" name="Picture 1"/>
            <wp:cNvGraphicFramePr>
              <a:graphicFrameLocks noChangeAspect="1"/>
            </wp:cNvGraphicFramePr>
            <a:graphic>
              <a:graphicData uri="http://schemas.openxmlformats.org/drawingml/2006/picture">
                <pic:pic>
                  <pic:nvPicPr>
                    <pic:cNvPr id="0" name="A 28929-2022 karta.png"/>
                    <pic:cNvPicPr/>
                  </pic:nvPicPr>
                  <pic:blipFill>
                    <a:blip r:embed="rId16"/>
                    <a:stretch>
                      <a:fillRect/>
                    </a:stretch>
                  </pic:blipFill>
                  <pic:spPr>
                    <a:xfrm>
                      <a:off x="0" y="0"/>
                      <a:ext cx="5486400" cy="3691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6170340, E 433451 i SWEREF 99 TM.</w:t>
      </w:r>
    </w:p>
    <w:p>
      <w:pPr>
        <w:pStyle w:val="Heading1"/>
      </w:pPr>
      <w:r>
        <w:t>Fridlysta arter</w:t>
      </w:r>
    </w:p>
    <w:p>
      <w:r>
        <w:t>Följande fridlysta arter har sina livsmiljöer och växtplatser i den avverkningsanmälda skogen: lövgroda (§4a) och större vattensalamander (§4a).</w:t>
      </w:r>
    </w:p>
    <w:p>
      <w:r>
        <w:rPr>
          <w:b/>
        </w:rPr>
        <w:t xml:space="preserve">Lövgroda (§4a) </w:t>
      </w:r>
      <w:r>
        <w:t>är strikt skyddad enligt EU:s art- och habitatdirektiv vilket innebär att hela dess livsmiljö ska bevaras. Lövgrodan, precis som de andra groddjuren i Sverige, lever i större eller mindre populationer vars storlek ofta begränsas av mängden lämpliga lekvatten och landmiljöer inom spridningsavstånd. Lövskog och/eller lövbuskmarker måste finnas i närheten av lekvattnet (SLU Artdatabanken, 2024).</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Lövgroda – ekologi samt krav på livsmiljön</w:t>
      </w:r>
    </w:p>
    <w:p>
      <w:r>
        <w:t>Lövgroda (NT, §4a)</w:t>
      </w:r>
      <w:r>
        <w:rPr>
          <w:b/>
        </w:rPr>
        <w:t xml:space="preserve"> </w:t>
      </w:r>
      <w:r>
        <w:t>är strikt skyddad enligt EU:s art- och habitatdirektiv vilket innebär att hela dess livsmiljö ska bevaras. Lövgrodan, precis som de andra groddjuren i Sverige, lever i större eller mindre populationer vars storlek ofta begränsas av mängden lämpliga lekvatten och landmiljöer inom spridningsavstånd. Lövskog och/eller lövbuskmarker måste finnas i närheten av lekvattnet (SLU Artdatabanken, 2024).</w:t>
      </w:r>
    </w:p>
    <w:p>
      <w:r>
        <w:t>De mest betydelsefulla biotoperna för arten i Skåne utgörs av naturbetesmarker med en mosaik av högörtsängar, öppen gräsmark, träd, buskage och dungar. Lövskogsbrynens buskridåer av hassel, hagtorn, slån, nypon, olvon, fläder och björnbär spelar en viktig roll efter lekperioden. I sydvända bryn kan lövgrodorna finna varma och skyddade miljöer ända till långt in på hösten. Lekvatten med omgivande naturbetesmarker, lövbusk- och lövträdsbestånd bör skyddas och anläggning av stora fiskfria våtmarker inom lämpliga landmiljöer är positivt för arten (SLU Artdatabanken, 2024).</w:t>
      </w:r>
    </w:p>
    <w:p>
      <w:pPr>
        <w:pStyle w:val="Heading2"/>
      </w:pPr>
      <w:r>
        <w:t>Referenser – lövgroda</w:t>
      </w:r>
    </w:p>
    <w:p>
      <w:r>
        <w:t>SLU Artdatabanken, 2024.</w:t>
      </w:r>
      <w:r>
        <w:rPr>
          <w:i/>
        </w:rPr>
        <w:t xml:space="preserve">  Artfakta: lövgroda (Hyla arborea). </w:t>
      </w:r>
      <w:r>
        <w:t>https://artfakta.se/taxa/100069</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