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30452-2025 i Sjöbo kommun</w:t>
      </w:r>
    </w:p>
    <w:p>
      <w:r>
        <w:t>Detta dokument behandlar höga naturvärden i avverkningsanmälan A 30452-2025 i Sjöbo kommun. Denna avverkningsanmälan inkom 2025-06-19 00:00:00 och omfattar 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desmeknopp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5731"/>
            <wp:docPr id="1" name="Picture 1"/>
            <wp:cNvGraphicFramePr>
              <a:graphicFrameLocks noChangeAspect="1"/>
            </wp:cNvGraphicFramePr>
            <a:graphic>
              <a:graphicData uri="http://schemas.openxmlformats.org/drawingml/2006/picture">
                <pic:pic>
                  <pic:nvPicPr>
                    <pic:cNvPr id="0" name="A 30452-2025 karta.png"/>
                    <pic:cNvPicPr/>
                  </pic:nvPicPr>
                  <pic:blipFill>
                    <a:blip r:embed="rId16"/>
                    <a:stretch>
                      <a:fillRect/>
                    </a:stretch>
                  </pic:blipFill>
                  <pic:spPr>
                    <a:xfrm>
                      <a:off x="0" y="0"/>
                      <a:ext cx="5486400" cy="4795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6164355, E 420204 i SWEREF 99 TM.</w:t>
      </w:r>
    </w:p>
    <w:p>
      <w:r>
        <w:rPr>
          <w:b/>
        </w:rPr>
        <w:t>Desmeknopp (NT)</w:t>
      </w:r>
      <w:r>
        <w:t xml:space="preserve"> förekommer främst i södra delarna av landet, enstaka spridda förekomster finns till åtminstone Medelpad. Växer i skilda miljöer, företrädesvis i lövskog där marken är fuktig, skuggig, närings- och mullrik. Arten har minskat kraftigt under senare år, framför allt på grund av skogsavverkningar och dräneringar. Minskningstakten har uppgått till 25 (15–35) % under de senaste 30 åren och bedöms vara nära gränsvärdet för Sårbar (VU). (A2bc+4abc). Skogsavverkning på lokaler med förekomst av desmeknopp missgynnar eller utplånar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