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10274-2021 i Sjöbo kommun</w:t>
      </w:r>
    </w:p>
    <w:p>
      <w:r>
        <w:t>Denna tillsynsbegäran behandlar höga naturvärden i samrådsanmälan S 10274-2021 i Sjöbo kommun som inkom 2021-12-14 och omfattar 0,6 ha.</w:t>
      </w:r>
    </w:p>
    <w:p>
      <w:pPr>
        <w:pStyle w:val="Caption"/>
      </w:pPr>
      <w:r>
        <w:drawing>
          <wp:inline xmlns:a="http://schemas.openxmlformats.org/drawingml/2006/main" xmlns:pic="http://schemas.openxmlformats.org/drawingml/2006/picture">
            <wp:extent cx="5486400" cy="5020716"/>
            <wp:docPr id="1" name="Picture 1"/>
            <wp:cNvGraphicFramePr>
              <a:graphicFrameLocks noChangeAspect="1"/>
            </wp:cNvGraphicFramePr>
            <a:graphic>
              <a:graphicData uri="http://schemas.openxmlformats.org/drawingml/2006/picture">
                <pic:pic>
                  <pic:nvPicPr>
                    <pic:cNvPr id="0" name="S 10274-2021 karta.png"/>
                    <pic:cNvPicPr/>
                  </pic:nvPicPr>
                  <pic:blipFill>
                    <a:blip r:embed="rId16"/>
                    <a:stretch>
                      <a:fillRect/>
                    </a:stretch>
                  </pic:blipFill>
                  <pic:spPr>
                    <a:xfrm>
                      <a:off x="0" y="0"/>
                      <a:ext cx="5486400" cy="5020716"/>
                    </a:xfrm>
                    <a:prstGeom prst="rect"/>
                  </pic:spPr>
                </pic:pic>
              </a:graphicData>
            </a:graphic>
          </wp:inline>
        </w:drawing>
      </w:r>
    </w:p>
    <w:p>
      <w:pPr>
        <w:pStyle w:val="Caption"/>
        <w:spacing w:after="240"/>
      </w:pPr>
      <w:r>
        <w:t>Figur 1. Fyndplatser för naturvårdsarter inom 1 meter från samrådsanmälan. Markörer utan svart kant är placerade på fyndplatsen. Markörer med svart kant är placerade vid sidan av fyndplatsen och har ett svart streck som visar fyndplatsens exakta position. Kartans mittpunktskoordinat är N 6159992, E 420145 i SWEREF 99 TM.</w:t>
      </w:r>
    </w:p>
    <w:p>
      <w:r>
        <w:t>Inom 1 meter från samrådsanmälan finns fynd av 2 naturvårdsarter, varav 1 är rödlistad, 2 är typiska (T) och 1 är signalart (S): stiftklotterlav (NT, T) och rostfläck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Stiftklotterlav (NT)</w:t>
      </w:r>
      <w:r>
        <w:t xml:space="preserve"> är en mycket bra signalart som alltid signalerar skogsområden med höga naturvärden. Den föredrar skog med långvarig kontinuitet av gamla lövträd och permanent hög och jämn luftfuktighet. Arten missgynnas vid avverkning på eller i direkt anslutning till lokalerna. Naturskogsartade ädellövskogsbestånd med rika populationer av laven bör skyddas. Stiftklotterlav är typisk art för </w:t>
      </w:r>
      <w:r>
        <w:rPr>
          <w:i/>
        </w:rPr>
        <w:t xml:space="preserve">9110 Näringsfattig bokskog </w:t>
      </w:r>
      <w:r>
        <w:t>och</w:t>
      </w:r>
      <w:r>
        <w:rPr>
          <w:i/>
        </w:rPr>
        <w:t xml:space="preserve"> 9130 Näringsrik bokskog</w:t>
      </w:r>
      <w:r>
        <w:t xml:space="preserve"> (SLU Artdatabanken, 2024; Nitare &amp; Skogsstyrelsen, 2019).</w:t>
      </w:r>
    </w:p>
    <w:p>
      <w:r>
        <w:rPr>
          <w:b/>
        </w:rPr>
        <w:t xml:space="preserve">Rostfläck </w:t>
      </w:r>
      <w:r>
        <w:t xml:space="preserve">signalerar framför allt höga naturvärden i östra Sverige samt norr om den naturliga norrlandsgränsen. Arten indikerar här skogsmiljöer som under lång tid haft ett konstant fuktigt mikroklimat. Rika förekomster i Norrland visar sannolikt på bestånd med långvarig kontinuitet av gamla träd. När laven påträffas i alkärr signalerar den höga naturvärden inom hela sitt utbredningsområde. Rostfläck är typisk art för </w:t>
      </w:r>
      <w:r>
        <w:rPr>
          <w:i/>
        </w:rPr>
        <w:t xml:space="preserve">9190 Näringsfattig ekskog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