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Mindre brunfladdermus (§4a)</w:t>
      </w:r>
      <w:r>
        <w:t xml:space="preserve">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Tidigare var den rödlistad som sårbar (VU) men eftersom det är okänt om arten är reproducerande i Sverige bedöms den i rödlistan 2025 som NA (Ej tillämplig)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(§4a)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Tidigare var mindre brunfladdermus rödlistad som sårbar (VU) men eftersom det är okänt om arten är reproducerande i Sverige bedöms den i rödlistan 2025 som NA (Ej tillämplig) (SLU Artdatabanken, 2026).</w:t>
      </w:r>
    </w:p>
    <w:p>
      <w:pPr>
        <w:pStyle w:val="Heading2"/>
      </w:pPr>
      <w:r>
        <w:t>Referenser – mindre brunfladdermus</w:t>
      </w:r>
    </w:p>
    <w:p>
      <w:r>
        <w:t>SLU Artdatabanken, 2026.</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