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24647-2022 i Hörby kommun</w:t>
      </w:r>
    </w:p>
    <w:p>
      <w:r>
        <w:t>Detta dokument behandlar höga naturvärden i avverkningsanmälan A 24647-2022 i Hörby kommun. Denna avverkningsanmälan inkom 2022-06-15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Följande fridlysta arter har sina livsmiljöer och växtplatser i den avverkningsanmälda skogen: mindre brunfladdermus (VU, §4a), dammfladdermus (NT, §4a), nordfladdermus (NT, §4a), sydfladdermus (NT, §4a), dvärgpipistrell (§4a), gråskimlig fladdermus (§4a), större brunfladdermus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Mindre brunfladdermus (VU, §4a)</w:t>
      </w:r>
      <w:r>
        <w:t>,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Mindre brunfladdermus hör till de arter som är mer utsatta för vindkraft på grund av sitt jaktbeteende att ofta födosöka på hög höjd under hösten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Mindre brunfladdermus – ekologi samt krav på livsmiljön</w:t>
      </w:r>
    </w:p>
    <w:p>
      <w:r>
        <w:t>Mindre brunfladdermus (VU, §4a), rödlistad som sårbar, omfattas av bilaga 4 EU:s art- och habitatdirektiv vilket innebär att arten och dess livsmiljöer är strikt skyddade. Den lever huvudsakligen i större skogsområden med gamla lövträdsbestånd, där den jagar i alla typer av öppna och halvöppna miljöer som trädbärande beteshagar och i kantzoner mellan skog och odlingsmark. Artens bytesval består av alla flygande nattaktiva insekter som sländor, tvåvingar, fjärilar och skalbaggar. Jakten sker ovanför trädtopparna, över en skogsbilväg eller över större sjöar och vattendrag. Mindre brunfladdermus hör till de arter som är mer utsatta för vindkraft på grund av sitt jaktbeteende att ofta födosöka på hög höjd under hösten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mindre brunfladdermus</w:t>
      </w:r>
    </w:p>
    <w:p>
      <w:r>
        <w:t>SLU Artdatabanken, 2024.</w:t>
      </w:r>
      <w:r>
        <w:rPr>
          <w:i/>
        </w:rPr>
        <w:t xml:space="preserve"> Artfakta: mindre brunfladdermus (Nyctalus leisleri)</w:t>
      </w:r>
      <w:r>
        <w:t>. https://artfakta.se/taxa/232266</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