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16520-2026 i Hörby kommun</w:t>
      </w:r>
    </w:p>
    <w:p>
      <w:r>
        <w:t>Detta dokument behandlar höga naturvärden i avverkningsanmälan A 16520-2026 i Hörby kommun. Denna avverkningsanmälan inkom 2026-03-31 00:00:00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sydlig sotticka (NT) och större brunfladdermus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5195"/>
            <wp:docPr id="1" name="Picture 1"/>
            <wp:cNvGraphicFramePr>
              <a:graphicFrameLocks noChangeAspect="1"/>
            </wp:cNvGraphicFramePr>
            <a:graphic>
              <a:graphicData uri="http://schemas.openxmlformats.org/drawingml/2006/picture">
                <pic:pic>
                  <pic:nvPicPr>
                    <pic:cNvPr id="0" name="A 16520-2026 karta.png"/>
                    <pic:cNvPicPr/>
                  </pic:nvPicPr>
                  <pic:blipFill>
                    <a:blip r:embed="rId16"/>
                    <a:stretch>
                      <a:fillRect/>
                    </a:stretch>
                  </pic:blipFill>
                  <pic:spPr>
                    <a:xfrm>
                      <a:off x="0" y="0"/>
                      <a:ext cx="5486400" cy="4745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6183416, E 425023 i SWEREF 99 TM.</w:t>
      </w:r>
    </w:p>
    <w:p>
      <w:r>
        <w:rPr>
          <w:b/>
        </w:rPr>
        <w:t xml:space="preserve">Sydlig sotticka (NT) </w:t>
      </w:r>
      <w:r>
        <w:t>påträffas i sydliga ädellövskogar på grova liggande lövvedsstammar och stubbar. Den växer främst på bok och alm, men även lind och björk. Arten hotas av brist på lämpliga kvalitéer av död ved. Ingrepp som innebär att lågor och döda eller skadade träd tas bort missgynnar arten. En slutavverkning, skoglig gallring eller annat uttag av virke på växtplatsen som ger ett förändrat lokalklimat innebär ett direkt hot. För att säkerställa artens fortlevnad bör man se till att artens växtplatser hålls intakta, att de inte omförs till barrskog och att ny död ved tillkommer, gärna i omedelbar anslutning. Befintliga vindfällen, döende träd, torrakor och lågor lämnas intakta. Ett långsiktigt tillförsäkrande om framtida tillgång till ved är en förutsättning för artens fortlevnad (SLU Artdatabanken, 2025).</w:t>
      </w:r>
    </w:p>
    <w:p>
      <w:pPr>
        <w:pStyle w:val="Heading1"/>
      </w:pPr>
      <w:r>
        <w:t>Fridlysta arter</w:t>
      </w:r>
    </w:p>
    <w:p>
      <w:r>
        <w:t>Följande fridlysta arter har sina livsmiljöer och växtplatser i den avverkningsanmälda skogen: större brunfladdermus (§4a).</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