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8853-2021 i Höörs kommun</w:t>
      </w:r>
    </w:p>
    <w:p>
      <w:r>
        <w:t>Detta klagomål behandlar höga naturvärden i samrådsanmälan S 8853-2021 i Höörs kommun som inkom 2021-11-03 och omfattar 113,6 ha.</w:t>
      </w:r>
    </w:p>
    <w:p>
      <w:pPr>
        <w:pStyle w:val="Caption"/>
      </w:pPr>
      <w:r>
        <w:drawing>
          <wp:inline xmlns:a="http://schemas.openxmlformats.org/drawingml/2006/main" xmlns:pic="http://schemas.openxmlformats.org/drawingml/2006/picture">
            <wp:extent cx="5486400" cy="4618289"/>
            <wp:docPr id="1" name="Picture 1"/>
            <wp:cNvGraphicFramePr>
              <a:graphicFrameLocks noChangeAspect="1"/>
            </wp:cNvGraphicFramePr>
            <a:graphic>
              <a:graphicData uri="http://schemas.openxmlformats.org/drawingml/2006/picture">
                <pic:pic>
                  <pic:nvPicPr>
                    <pic:cNvPr id="0" name="S 8853-2021 karta.png"/>
                    <pic:cNvPicPr/>
                  </pic:nvPicPr>
                  <pic:blipFill>
                    <a:blip r:embed="rId16"/>
                    <a:stretch>
                      <a:fillRect/>
                    </a:stretch>
                  </pic:blipFill>
                  <pic:spPr>
                    <a:xfrm>
                      <a:off x="0" y="0"/>
                      <a:ext cx="5486400" cy="4618289"/>
                    </a:xfrm>
                    <a:prstGeom prst="rect"/>
                  </pic:spPr>
                </pic:pic>
              </a:graphicData>
            </a:graphic>
          </wp:inline>
        </w:drawing>
      </w:r>
    </w:p>
    <w:p>
      <w:pPr>
        <w:pStyle w:val="Caption"/>
        <w:spacing w:after="240"/>
      </w:pPr>
      <w:r>
        <w:t>Figur 1. Fyndplatser för naturvårdsarter i och inom 6 meter från samrådsanmälan. Markörer utan svart kant är placerade på fyndplatsen. Markörer med svart kant är placerade vid sidan av fyndplatsen och har ett svart streck som visar fyndplatsens exakta position. Kartans mittpunktskoordinat är N 6205588, E 410421 i SWEREF 99 TM.</w:t>
      </w:r>
    </w:p>
    <w:p>
      <w:r>
        <w:t>I och inom 6 meter från samrådsanmälan finns fynd av 6 naturvårdsarter, varav 4 är rödlistade, 2 är fridlysta, 1 är typisk (T) och 1 är signalart (S): savlundlav (EN), igelkott (VU), koralltaggsvamp (NT, T), talltita (NT, §4), skogsbräsma (S)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Savlundlav (EN)</w:t>
      </w:r>
      <w:r>
        <w:t xml:space="preserve"> är en starkt hotad art som oftast växer vid savflöden på ädellövträd, oftast på gamla bokar och almar men ibland även på lönn och rönn. Arten hotas framför allt av att lokaler med lång kontinuitet försvinner genom aktivt skogsbruk och att gamla ädellövträd i öppna miljöer, speciellt almar i alléer, ofta byts ut. Skydda de rikligaste lokalerna och undvik produktionsinriktat skogsbruk på och omkring lokaler med arten (SLU Artdatabanken, 2025).</w:t>
      </w:r>
    </w:p>
    <w:p>
      <w:r>
        <w:rPr>
          <w:b/>
        </w:rPr>
        <w:t>Koralltaggsvamp (NT)</w:t>
      </w:r>
      <w:r>
        <w:t xml:space="preserve"> är i hela landet en mycket bra signalart som nästan enbart påträffas i skogsområden med höga naturvärden. Arten hotas av brist på död ved. Ingrepp som innebär att lågor och döda eller skadade träd tas bort missgynnar arten. En slutavverkning, skoglig gallring eller annat uttag av virke på växtplatsen som ger ett förändrat lokalklimat innebär ett direkt hot liksom överföring av lövskog till barrskog. Koralltaggsvamp är typisk art för </w:t>
      </w:r>
      <w:r>
        <w:rPr>
          <w:i/>
        </w:rPr>
        <w:t>9010 Taiga, 9050 Näringsrik granskog</w:t>
      </w:r>
      <w:r>
        <w:t xml:space="preserve"> och</w:t>
      </w:r>
      <w:r>
        <w:rPr>
          <w:i/>
        </w:rPr>
        <w:t xml:space="preserve"> 9030 Landhöjningsskog</w:t>
      </w:r>
      <w:r>
        <w:t xml:space="preserve">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