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25480-2025 i Höörs kommun</w:t>
      </w:r>
    </w:p>
    <w:p>
      <w:r>
        <w:t>Detta dokument behandlar höga naturvärden i avverkningsanmälan A 25480-2025 i Höörs kommun. Denna avverkningsanmälan inkom 2025-05-25 00:00:00 och omfattar 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hålnunneört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2866"/>
            <wp:docPr id="1" name="Picture 1"/>
            <wp:cNvGraphicFramePr>
              <a:graphicFrameLocks noChangeAspect="1"/>
            </wp:cNvGraphicFramePr>
            <a:graphic>
              <a:graphicData uri="http://schemas.openxmlformats.org/drawingml/2006/picture">
                <pic:pic>
                  <pic:nvPicPr>
                    <pic:cNvPr id="0" name="A 25480-2025 karta.png"/>
                    <pic:cNvPicPr/>
                  </pic:nvPicPr>
                  <pic:blipFill>
                    <a:blip r:embed="rId16"/>
                    <a:stretch>
                      <a:fillRect/>
                    </a:stretch>
                  </pic:blipFill>
                  <pic:spPr>
                    <a:xfrm>
                      <a:off x="0" y="0"/>
                      <a:ext cx="5486400" cy="55628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6184225, E 405633 i SWEREF 99 TM.</w:t>
      </w:r>
    </w:p>
    <w:p>
      <w:r>
        <w:rPr>
          <w:b/>
        </w:rPr>
        <w:t>Hålnunneört (NT)</w:t>
      </w:r>
      <w:r>
        <w:t xml:space="preserve"> växer i halvskuggig, frisk, kalkhaltig och näringsrik mark i ädellövskogar men också lokalt i parker. I Skåne, där den huvudsakligen är knuten till landskapets rikaste ädellövskogar på frisk eller något fuktig mark, har undersökningar visat att arten kan ha tappat uppemot 75 % av sina lokaler under det senaste halvseklet. Arten har svårt att sprida sig till nya lokaler, varför det är viktigt att ädellövskogar med nunneört sköts på sätt som passar/gynnar arten för att den ska överleva. Alltför kraftig utglesning av träd på växtplatsen ger ökad instrålning, som ofta leder till att nunneörten försvinner. Hålnunneört är typisk art för </w:t>
      </w:r>
      <w:r>
        <w:rPr>
          <w:i/>
        </w:rPr>
        <w:t>9130 Näringsrik bokskog</w:t>
      </w:r>
      <w:r>
        <w:t xml:space="preserve"> och </w:t>
      </w:r>
      <w:r>
        <w:rPr>
          <w:i/>
        </w:rPr>
        <w:t xml:space="preserve">9180 Ädellövskog i branter </w:t>
      </w:r>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