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20 meter från samrådsanmälan finns fynd av 28 naturvårdsarter, varav 9 är rödlistade, 11 är fridlysta, 13 är typiska (T) och 3 är signalarter (S): stare (VU, §4), björktrast (NT, §4), engelskt björnbär (NT), gulsparv (NT, §4), mindre hackspett (NT, T, §4), mörk dunört (NT), rödlånke (NT), sydlig sotticka (NT), älg (NT), kransrams (S, T), myskmadra (S, T), skogsbräsma (S), ekorrbär (T), gulplister (T), hultbräken (T), lundslok (T), skogsstjärna (T), skärmstarr (T), spillkråka (T, §4), svarta vinbär (T), vildkaprifol (T), ängskovall (T),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